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50" w:rsidRPr="008B43B6" w:rsidRDefault="00925350" w:rsidP="00FD09C4">
      <w:pPr>
        <w:jc w:val="center"/>
        <w:rPr>
          <w:rFonts w:ascii="Arial" w:hAnsi="Arial" w:cs="Arial"/>
          <w:b/>
          <w:bCs/>
          <w:sz w:val="24"/>
          <w:szCs w:val="24"/>
          <w:lang w:val="en-US"/>
        </w:rPr>
      </w:pPr>
      <w:r w:rsidRPr="008B43B6">
        <w:rPr>
          <w:rFonts w:ascii="Arial" w:hAnsi="Arial" w:cs="Arial"/>
          <w:b/>
          <w:bCs/>
          <w:sz w:val="24"/>
          <w:szCs w:val="24"/>
          <w:lang w:val="en-US"/>
        </w:rPr>
        <w:t>Evolution of IA practice in São Paulo State</w:t>
      </w:r>
    </w:p>
    <w:p w:rsidR="00925350" w:rsidRPr="00585A75" w:rsidRDefault="00925350" w:rsidP="00FD09C4">
      <w:pPr>
        <w:jc w:val="both"/>
        <w:rPr>
          <w:rFonts w:ascii="Arial" w:hAnsi="Arial" w:cs="Arial"/>
          <w:b/>
          <w:bCs/>
          <w:lang w:val="en-US"/>
        </w:rPr>
      </w:pPr>
      <w:r w:rsidRPr="00585A75">
        <w:rPr>
          <w:rFonts w:ascii="Arial" w:hAnsi="Arial"/>
          <w:b/>
          <w:bCs/>
          <w:lang w:val="en-US"/>
        </w:rPr>
        <w:t>Introduction</w:t>
      </w:r>
    </w:p>
    <w:p w:rsidR="00925350" w:rsidRPr="00585A75" w:rsidRDefault="00925350" w:rsidP="00FD09C4">
      <w:pPr>
        <w:pStyle w:val="ListParagraph"/>
        <w:spacing w:after="0" w:line="240" w:lineRule="auto"/>
        <w:ind w:left="0" w:firstLine="426"/>
        <w:contextualSpacing w:val="0"/>
        <w:jc w:val="both"/>
        <w:rPr>
          <w:rFonts w:ascii="Arial" w:hAnsi="Arial"/>
          <w:color w:val="000000"/>
          <w:lang w:val="en-US"/>
        </w:rPr>
      </w:pPr>
      <w:r w:rsidRPr="00585A75">
        <w:rPr>
          <w:rFonts w:ascii="Arial" w:hAnsi="Arial"/>
          <w:color w:val="000000"/>
          <w:lang w:val="en-US"/>
        </w:rPr>
        <w:t xml:space="preserve">Since its inception, </w:t>
      </w:r>
      <w:r>
        <w:rPr>
          <w:rFonts w:ascii="Arial" w:hAnsi="Arial"/>
          <w:color w:val="000000"/>
          <w:lang w:val="en-US"/>
        </w:rPr>
        <w:t xml:space="preserve">in the 70’s, </w:t>
      </w:r>
      <w:r w:rsidRPr="00585A75">
        <w:rPr>
          <w:rFonts w:ascii="Arial" w:hAnsi="Arial"/>
          <w:color w:val="000000"/>
          <w:lang w:val="en-US"/>
        </w:rPr>
        <w:t>EIA has evolved and changed</w:t>
      </w:r>
      <w:r>
        <w:rPr>
          <w:rFonts w:ascii="Arial" w:hAnsi="Arial"/>
          <w:color w:val="000000"/>
          <w:lang w:val="en-US"/>
        </w:rPr>
        <w:t xml:space="preserve"> in response to drivers such as experiential learning, scientific advance</w:t>
      </w:r>
      <w:r w:rsidRPr="00E2744B">
        <w:rPr>
          <w:rFonts w:ascii="Arial" w:hAnsi="Arial"/>
          <w:color w:val="000000"/>
          <w:lang w:val="en-US"/>
        </w:rPr>
        <w:t>s and technological developments.</w:t>
      </w:r>
      <w:r>
        <w:rPr>
          <w:rFonts w:ascii="Arial" w:hAnsi="Arial"/>
          <w:color w:val="000000"/>
          <w:lang w:val="en-US"/>
        </w:rPr>
        <w:t xml:space="preserve"> While some aspects of practice seem to have improved (Landim and Sánchez, 2012), there are persistent shortcomings: poor data quality (Landim and Sánchez, 2012); low commitment level (Morgan, 2012); difficulties in applying best practices (K</w:t>
      </w:r>
      <w:r>
        <w:rPr>
          <w:rFonts w:ascii="Arial" w:hAnsi="Arial" w:cs="Arial"/>
          <w:color w:val="000000"/>
          <w:lang w:val="en-US"/>
        </w:rPr>
        <w:t>å</w:t>
      </w:r>
      <w:r>
        <w:rPr>
          <w:rFonts w:ascii="Arial" w:hAnsi="Arial"/>
          <w:color w:val="000000"/>
          <w:lang w:val="en-US"/>
        </w:rPr>
        <w:t>gstrom, 2016); process streamlining (Bond et al, 2014); late public participation (Steinemann, 2001).</w:t>
      </w:r>
    </w:p>
    <w:p w:rsidR="00925350" w:rsidRPr="00B40570"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 xml:space="preserve">Enquirying at 30 years of EIA practice in São Paulo State, Brazil, this research aims to identify changes in EIA practice and explore its possible drivers. Considering the stock of 887 EIAs in the files of Cetesb, the State </w:t>
      </w:r>
      <w:r w:rsidRPr="00B40570">
        <w:rPr>
          <w:rFonts w:ascii="Arial" w:hAnsi="Arial"/>
          <w:color w:val="000000"/>
          <w:lang w:val="en-US"/>
        </w:rPr>
        <w:t>Environmental Agency</w:t>
      </w:r>
      <w:r>
        <w:rPr>
          <w:rFonts w:ascii="Arial" w:hAnsi="Arial"/>
          <w:color w:val="000000"/>
          <w:lang w:val="en-US"/>
        </w:rPr>
        <w:t>, since EIA was adopted in 1987, m</w:t>
      </w:r>
      <w:r w:rsidRPr="00B40570">
        <w:rPr>
          <w:rFonts w:ascii="Arial" w:hAnsi="Arial"/>
          <w:color w:val="000000"/>
          <w:lang w:val="en-US"/>
        </w:rPr>
        <w:t>ining projects</w:t>
      </w:r>
      <w:r>
        <w:rPr>
          <w:rFonts w:ascii="Arial" w:hAnsi="Arial"/>
          <w:color w:val="000000"/>
          <w:lang w:val="en-US"/>
        </w:rPr>
        <w:t xml:space="preserve"> </w:t>
      </w:r>
      <w:r w:rsidRPr="00B40570">
        <w:rPr>
          <w:rFonts w:ascii="Arial" w:hAnsi="Arial"/>
          <w:color w:val="000000"/>
          <w:lang w:val="en-US"/>
        </w:rPr>
        <w:t xml:space="preserve">were chosen for review </w:t>
      </w:r>
      <w:r>
        <w:rPr>
          <w:rFonts w:ascii="Arial" w:hAnsi="Arial"/>
          <w:color w:val="000000"/>
          <w:lang w:val="en-US"/>
        </w:rPr>
        <w:t>because</w:t>
      </w:r>
      <w:r w:rsidRPr="00B40570">
        <w:rPr>
          <w:rFonts w:ascii="Arial" w:hAnsi="Arial"/>
          <w:color w:val="000000"/>
          <w:lang w:val="en-US"/>
        </w:rPr>
        <w:t xml:space="preserve"> the</w:t>
      </w:r>
      <w:r>
        <w:rPr>
          <w:rFonts w:ascii="Arial" w:hAnsi="Arial"/>
          <w:color w:val="000000"/>
          <w:lang w:val="en-US"/>
        </w:rPr>
        <w:t>y represent a</w:t>
      </w:r>
      <w:r w:rsidRPr="00B40570">
        <w:rPr>
          <w:rFonts w:ascii="Arial" w:hAnsi="Arial"/>
          <w:color w:val="000000"/>
          <w:lang w:val="en-US"/>
        </w:rPr>
        <w:t xml:space="preserve"> </w:t>
      </w:r>
      <w:r>
        <w:rPr>
          <w:rFonts w:ascii="Arial" w:hAnsi="Arial"/>
          <w:color w:val="000000"/>
          <w:lang w:val="en-US"/>
        </w:rPr>
        <w:t>significant share of the total (36.3%) and are well represented across the whole time frame.</w:t>
      </w:r>
    </w:p>
    <w:p w:rsidR="00925350" w:rsidRDefault="00925350" w:rsidP="00D971E7">
      <w:pPr>
        <w:tabs>
          <w:tab w:val="left" w:pos="5985"/>
        </w:tabs>
        <w:spacing w:after="0"/>
        <w:jc w:val="both"/>
        <w:rPr>
          <w:rFonts w:ascii="Arial" w:hAnsi="Arial"/>
          <w:b/>
          <w:bCs/>
          <w:lang w:val="en-US"/>
        </w:rPr>
      </w:pPr>
      <w:r>
        <w:rPr>
          <w:rFonts w:ascii="Arial" w:hAnsi="Arial"/>
          <w:b/>
          <w:bCs/>
          <w:lang w:val="en-US"/>
        </w:rPr>
        <w:tab/>
      </w:r>
    </w:p>
    <w:p w:rsidR="00925350" w:rsidRPr="00D04BF7" w:rsidRDefault="00925350" w:rsidP="00D04BF7">
      <w:pPr>
        <w:jc w:val="both"/>
        <w:rPr>
          <w:rFonts w:ascii="Arial" w:hAnsi="Arial"/>
          <w:b/>
          <w:bCs/>
          <w:lang w:val="en-US"/>
        </w:rPr>
      </w:pPr>
      <w:r w:rsidRPr="00D04BF7">
        <w:rPr>
          <w:rFonts w:ascii="Arial" w:hAnsi="Arial"/>
          <w:b/>
          <w:bCs/>
          <w:lang w:val="en-US"/>
        </w:rPr>
        <w:t>Method</w:t>
      </w:r>
      <w:r>
        <w:rPr>
          <w:rFonts w:ascii="Arial" w:hAnsi="Arial"/>
          <w:b/>
          <w:bCs/>
          <w:lang w:val="en-US"/>
        </w:rPr>
        <w:t>s</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r w:rsidRPr="003C46BF">
        <w:rPr>
          <w:rFonts w:ascii="Arial" w:hAnsi="Arial"/>
          <w:color w:val="000000"/>
          <w:lang w:val="en-US"/>
        </w:rPr>
        <w:t xml:space="preserve">The </w:t>
      </w:r>
      <w:r>
        <w:rPr>
          <w:rFonts w:ascii="Arial" w:hAnsi="Arial"/>
          <w:color w:val="000000"/>
          <w:lang w:val="en-US"/>
        </w:rPr>
        <w:t>research</w:t>
      </w:r>
      <w:r w:rsidRPr="003C46BF">
        <w:rPr>
          <w:rFonts w:ascii="Arial" w:hAnsi="Arial"/>
          <w:color w:val="000000"/>
          <w:lang w:val="en-US"/>
        </w:rPr>
        <w:t xml:space="preserve"> </w:t>
      </w:r>
      <w:r>
        <w:rPr>
          <w:rFonts w:ascii="Arial" w:hAnsi="Arial"/>
          <w:color w:val="000000"/>
          <w:lang w:val="en-US"/>
        </w:rPr>
        <w:t>employed</w:t>
      </w:r>
      <w:r w:rsidRPr="003C46BF">
        <w:rPr>
          <w:rFonts w:ascii="Arial" w:hAnsi="Arial"/>
          <w:color w:val="000000"/>
          <w:lang w:val="en-US"/>
        </w:rPr>
        <w:t xml:space="preserve"> a qualitative approach, based on document re</w:t>
      </w:r>
      <w:r>
        <w:rPr>
          <w:rFonts w:ascii="Arial" w:hAnsi="Arial"/>
          <w:color w:val="000000"/>
          <w:lang w:val="en-US"/>
        </w:rPr>
        <w:t>view</w:t>
      </w:r>
      <w:r w:rsidRPr="003C46BF">
        <w:rPr>
          <w:rFonts w:ascii="Arial" w:hAnsi="Arial"/>
          <w:color w:val="000000"/>
          <w:lang w:val="en-US"/>
        </w:rPr>
        <w:t xml:space="preserve"> </w:t>
      </w:r>
      <w:r>
        <w:rPr>
          <w:rFonts w:ascii="Arial" w:hAnsi="Arial"/>
          <w:color w:val="000000"/>
          <w:lang w:val="en-US"/>
        </w:rPr>
        <w:t>using</w:t>
      </w:r>
      <w:r w:rsidRPr="003C46BF">
        <w:rPr>
          <w:rFonts w:ascii="Arial" w:hAnsi="Arial"/>
          <w:color w:val="000000"/>
          <w:lang w:val="en-US"/>
        </w:rPr>
        <w:t xml:space="preserve"> content analysis</w:t>
      </w:r>
      <w:r>
        <w:rPr>
          <w:rFonts w:ascii="Arial" w:hAnsi="Arial"/>
          <w:color w:val="000000"/>
          <w:lang w:val="en-US"/>
        </w:rPr>
        <w:t xml:space="preserve">. Out of the EIA database maintained by Cetesb, featuring 322 files related to mining projects, six cases were selected for review. For the selection of cases, the complete Cetesb EIA database was consulted to extract information on the files relative to mining projects. A spreadsheet was prepared containing data on proponent, year of filing, municipality, mineral, status (approved/rejected) and location. A two-stage filtering was used to select the cases. Firstly, only approved quarry projects were considered. </w:t>
      </w:r>
      <w:r w:rsidRPr="00345164">
        <w:rPr>
          <w:rFonts w:ascii="Arial" w:hAnsi="Arial"/>
          <w:color w:val="000000"/>
          <w:lang w:val="en-US"/>
        </w:rPr>
        <w:t>Quarry projects were chosen because they represent a</w:t>
      </w:r>
      <w:r>
        <w:rPr>
          <w:rFonts w:ascii="Arial" w:hAnsi="Arial"/>
          <w:color w:val="000000"/>
          <w:lang w:val="en-US"/>
        </w:rPr>
        <w:t>n important</w:t>
      </w:r>
      <w:r w:rsidRPr="00345164">
        <w:rPr>
          <w:rFonts w:ascii="Arial" w:hAnsi="Arial"/>
          <w:color w:val="000000"/>
          <w:lang w:val="en-US"/>
        </w:rPr>
        <w:t xml:space="preserve"> class of projects assessed over the whole </w:t>
      </w:r>
      <w:r>
        <w:rPr>
          <w:rFonts w:ascii="Arial" w:hAnsi="Arial"/>
          <w:color w:val="000000"/>
          <w:lang w:val="en-US"/>
        </w:rPr>
        <w:t xml:space="preserve">study </w:t>
      </w:r>
      <w:r w:rsidRPr="00345164">
        <w:rPr>
          <w:rFonts w:ascii="Arial" w:hAnsi="Arial"/>
          <w:color w:val="000000"/>
          <w:lang w:val="en-US"/>
        </w:rPr>
        <w:t>period, are larger</w:t>
      </w:r>
      <w:r>
        <w:rPr>
          <w:rFonts w:ascii="Arial" w:hAnsi="Arial"/>
          <w:color w:val="000000"/>
          <w:lang w:val="en-US"/>
        </w:rPr>
        <w:t xml:space="preserve"> than other frequent projects (mostly sand and clay pits)</w:t>
      </w:r>
      <w:r w:rsidRPr="00345164">
        <w:rPr>
          <w:rFonts w:ascii="Arial" w:hAnsi="Arial"/>
          <w:color w:val="000000"/>
          <w:lang w:val="en-US"/>
        </w:rPr>
        <w:t xml:space="preserve"> and have </w:t>
      </w:r>
      <w:r>
        <w:rPr>
          <w:rFonts w:ascii="Arial" w:hAnsi="Arial"/>
          <w:color w:val="000000"/>
          <w:lang w:val="en-US"/>
        </w:rPr>
        <w:t>more significant</w:t>
      </w:r>
      <w:r w:rsidRPr="00345164">
        <w:rPr>
          <w:rFonts w:ascii="Arial" w:hAnsi="Arial"/>
          <w:color w:val="000000"/>
          <w:lang w:val="en-US"/>
        </w:rPr>
        <w:t xml:space="preserve"> impacts.</w:t>
      </w:r>
      <w:r>
        <w:rPr>
          <w:rFonts w:ascii="Arial" w:hAnsi="Arial"/>
          <w:color w:val="000000"/>
          <w:lang w:val="en-US"/>
        </w:rPr>
        <w:t xml:space="preserve"> Although we use the term ‘mining’, there is virtually no metal mine active in the State, the extractive industry being represented by industrial minerals and aggregates. From this subset (quarries), the cases were selected to cover (1) the longest time spectrum possible; (2) different rocks; and (3) different locations and settings (urban or rural).</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For each case, the whole series of EIA documents was reviewed. They comprise: (1) terms of reference (ToR), (2) environmental impact statement (EIS), (3) its supplements, (4) records of public hearings, and (5) review report. The non-technical summary was not included.</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For each kind of document, a script containing questions was developed. Guidance for reviewing the EIS was adapted from literature (Lee et al., 1999; EC, 2001), using the criteria employed by Landim and Sánchez (2012) for content analysis of EIS. For reviewing public hearing records, the questions prepared by Duarte et al. (2016) were adopted. For the other documents, a list of questions was prepared by the authors. The set of five scripts was tested in one case, then modified as needed, and applied to the six cases.</w:t>
      </w:r>
    </w:p>
    <w:p w:rsidR="00925350" w:rsidRPr="00300927" w:rsidRDefault="00925350" w:rsidP="00A716F1">
      <w:pPr>
        <w:autoSpaceDE w:val="0"/>
        <w:autoSpaceDN w:val="0"/>
        <w:adjustRightInd w:val="0"/>
        <w:spacing w:after="0" w:line="240" w:lineRule="auto"/>
        <w:ind w:firstLine="426"/>
        <w:jc w:val="both"/>
        <w:rPr>
          <w:rFonts w:ascii="Arial" w:hAnsi="Arial"/>
          <w:color w:val="000000"/>
          <w:lang w:val="en-US"/>
        </w:rPr>
      </w:pPr>
      <w:r w:rsidRPr="00F508B8">
        <w:rPr>
          <w:rFonts w:ascii="Arial" w:hAnsi="Arial"/>
          <w:color w:val="000000"/>
          <w:lang w:val="en-US"/>
        </w:rPr>
        <w:t>For this research, content analysis was used to c</w:t>
      </w:r>
      <w:r w:rsidRPr="00E15EA8">
        <w:rPr>
          <w:rFonts w:ascii="Arial" w:hAnsi="Arial"/>
          <w:color w:val="000000"/>
          <w:lang w:val="en-US"/>
        </w:rPr>
        <w:t>heck text against research hypothesis about its contents.</w:t>
      </w:r>
      <w:r w:rsidRPr="00235D26">
        <w:rPr>
          <w:rFonts w:ascii="Arial" w:hAnsi="Arial"/>
          <w:color w:val="000000"/>
          <w:lang w:val="en-US"/>
        </w:rPr>
        <w:t xml:space="preserve"> The reduction of the complexity of a text to a number of categories of analysis allows for replicable inferences (Krippendorf</w:t>
      </w:r>
      <w:r>
        <w:rPr>
          <w:rFonts w:ascii="Arial" w:hAnsi="Arial"/>
          <w:color w:val="000000"/>
          <w:lang w:val="en-US"/>
        </w:rPr>
        <w:t>,</w:t>
      </w:r>
      <w:r w:rsidRPr="00235D26">
        <w:rPr>
          <w:rFonts w:ascii="Arial" w:hAnsi="Arial"/>
          <w:color w:val="000000"/>
          <w:lang w:val="en-US"/>
        </w:rPr>
        <w:t xml:space="preserve"> 2004).</w:t>
      </w:r>
      <w:r>
        <w:rPr>
          <w:rFonts w:ascii="Arial" w:hAnsi="Arial"/>
          <w:color w:val="000000"/>
          <w:lang w:val="en-US"/>
        </w:rPr>
        <w:t xml:space="preserve"> </w:t>
      </w:r>
      <w:r w:rsidRPr="00CD6FCE">
        <w:rPr>
          <w:rFonts w:ascii="Arial" w:hAnsi="Arial"/>
          <w:color w:val="000000"/>
          <w:lang w:val="en-US"/>
        </w:rPr>
        <w:t>Data collected from each document was tabled and compared</w:t>
      </w:r>
      <w:r>
        <w:rPr>
          <w:rFonts w:ascii="Arial" w:hAnsi="Arial"/>
          <w:color w:val="000000"/>
          <w:lang w:val="en-US"/>
        </w:rPr>
        <w:t xml:space="preserve"> aiming at detecting</w:t>
      </w:r>
      <w:r w:rsidRPr="00CD6FCE">
        <w:rPr>
          <w:rFonts w:ascii="Arial" w:hAnsi="Arial"/>
          <w:color w:val="000000"/>
          <w:lang w:val="en-US"/>
        </w:rPr>
        <w:t xml:space="preserve"> regularities, temporal changes or innovations</w:t>
      </w:r>
      <w:r>
        <w:rPr>
          <w:rFonts w:ascii="Arial" w:hAnsi="Arial"/>
          <w:color w:val="000000"/>
          <w:lang w:val="en-US"/>
        </w:rPr>
        <w:t xml:space="preserve">, in a longitudinal approach, in order to do comparisons over a long period, restricted to a particular context (Bauer, 2000).  </w:t>
      </w:r>
    </w:p>
    <w:p w:rsidR="00925350" w:rsidRPr="00E514A5" w:rsidRDefault="00925350" w:rsidP="00E514A5">
      <w:pPr>
        <w:pStyle w:val="ListParagraph"/>
        <w:spacing w:after="0" w:line="240" w:lineRule="auto"/>
        <w:ind w:left="0" w:firstLine="426"/>
        <w:contextualSpacing w:val="0"/>
        <w:jc w:val="both"/>
        <w:rPr>
          <w:rFonts w:ascii="Arial" w:hAnsi="Arial"/>
          <w:color w:val="000000"/>
          <w:lang w:val="en-US"/>
        </w:rPr>
      </w:pPr>
      <w:r w:rsidRPr="00E514A5">
        <w:rPr>
          <w:rFonts w:ascii="Arial" w:hAnsi="Arial"/>
          <w:color w:val="000000"/>
          <w:lang w:val="en-US"/>
        </w:rPr>
        <w:t>Hypothesis about possible drivers of changes were drawn from the reviewed EIA literature and from the authors’ experience with Brazilian EIA system.</w:t>
      </w:r>
      <w:r>
        <w:rPr>
          <w:rFonts w:ascii="Arial" w:hAnsi="Arial"/>
          <w:color w:val="000000"/>
          <w:lang w:val="en-US"/>
        </w:rPr>
        <w:t xml:space="preserve"> Furthermore, some suggestions for potential improvements were provided.</w:t>
      </w:r>
    </w:p>
    <w:p w:rsidR="00925350" w:rsidRPr="00D24113" w:rsidRDefault="00925350" w:rsidP="00CD6FCE">
      <w:pPr>
        <w:autoSpaceDE w:val="0"/>
        <w:autoSpaceDN w:val="0"/>
        <w:adjustRightInd w:val="0"/>
        <w:spacing w:after="0" w:line="240" w:lineRule="auto"/>
        <w:rPr>
          <w:rFonts w:ascii="Arial" w:hAnsi="Arial"/>
          <w:b/>
          <w:bCs/>
          <w:lang w:val="en-US"/>
        </w:rPr>
      </w:pPr>
    </w:p>
    <w:p w:rsidR="00925350" w:rsidRPr="00300927" w:rsidRDefault="00925350" w:rsidP="00FD09C4">
      <w:pPr>
        <w:spacing w:after="120"/>
        <w:jc w:val="both"/>
        <w:rPr>
          <w:rFonts w:ascii="Arial" w:hAnsi="Arial" w:cs="Arial"/>
          <w:b/>
          <w:bCs/>
          <w:lang w:val="en-US"/>
        </w:rPr>
      </w:pPr>
      <w:r w:rsidRPr="00300927">
        <w:rPr>
          <w:rFonts w:ascii="Arial" w:hAnsi="Arial"/>
          <w:b/>
          <w:bCs/>
          <w:lang w:val="en-US"/>
        </w:rPr>
        <w:t>Results</w:t>
      </w:r>
    </w:p>
    <w:p w:rsidR="00925350" w:rsidRPr="00636B59" w:rsidRDefault="00925350" w:rsidP="00A97938">
      <w:pPr>
        <w:pStyle w:val="ListParagraph"/>
        <w:spacing w:after="0" w:line="240" w:lineRule="auto"/>
        <w:ind w:left="0" w:firstLine="426"/>
        <w:contextualSpacing w:val="0"/>
        <w:jc w:val="both"/>
        <w:rPr>
          <w:rFonts w:ascii="Arial" w:hAnsi="Arial"/>
          <w:color w:val="000000"/>
          <w:lang w:val="en-US"/>
        </w:rPr>
      </w:pPr>
      <w:r w:rsidRPr="00345164">
        <w:rPr>
          <w:rFonts w:ascii="Arial" w:hAnsi="Arial"/>
          <w:color w:val="000000"/>
          <w:lang w:val="en-US"/>
        </w:rPr>
        <w:t>From</w:t>
      </w:r>
      <w:r>
        <w:rPr>
          <w:rFonts w:ascii="Arial" w:hAnsi="Arial"/>
          <w:color w:val="000000"/>
          <w:lang w:val="en-US"/>
        </w:rPr>
        <w:t xml:space="preserve"> June</w:t>
      </w:r>
      <w:r w:rsidRPr="00345164">
        <w:rPr>
          <w:rFonts w:ascii="Arial" w:hAnsi="Arial"/>
          <w:color w:val="000000"/>
          <w:lang w:val="en-US"/>
        </w:rPr>
        <w:t xml:space="preserve"> 1987</w:t>
      </w:r>
      <w:r>
        <w:rPr>
          <w:rFonts w:ascii="Arial" w:hAnsi="Arial"/>
          <w:color w:val="000000"/>
          <w:lang w:val="en-US"/>
        </w:rPr>
        <w:t>, when the first EIS was filed,</w:t>
      </w:r>
      <w:r w:rsidRPr="00345164">
        <w:rPr>
          <w:rFonts w:ascii="Arial" w:hAnsi="Arial"/>
          <w:color w:val="000000"/>
          <w:lang w:val="en-US"/>
        </w:rPr>
        <w:t xml:space="preserve"> up to </w:t>
      </w:r>
      <w:r>
        <w:rPr>
          <w:rFonts w:ascii="Arial" w:hAnsi="Arial"/>
          <w:color w:val="000000"/>
          <w:lang w:val="en-US"/>
        </w:rPr>
        <w:t>December</w:t>
      </w:r>
      <w:r w:rsidRPr="00345164">
        <w:rPr>
          <w:rFonts w:ascii="Arial" w:hAnsi="Arial"/>
          <w:color w:val="000000"/>
          <w:lang w:val="en-US"/>
        </w:rPr>
        <w:t xml:space="preserve"> 2015, </w:t>
      </w:r>
      <w:r>
        <w:rPr>
          <w:rFonts w:ascii="Arial" w:hAnsi="Arial"/>
          <w:color w:val="000000"/>
          <w:lang w:val="en-US"/>
        </w:rPr>
        <w:t>Cetesb records</w:t>
      </w:r>
      <w:r w:rsidRPr="00345164">
        <w:rPr>
          <w:rFonts w:ascii="Arial" w:hAnsi="Arial"/>
          <w:color w:val="000000"/>
          <w:lang w:val="en-US"/>
        </w:rPr>
        <w:t xml:space="preserve"> 322 files of mining projects.</w:t>
      </w:r>
      <w:r>
        <w:rPr>
          <w:rFonts w:ascii="Arial" w:hAnsi="Arial"/>
          <w:color w:val="000000"/>
          <w:lang w:val="en-US"/>
        </w:rPr>
        <w:t xml:space="preserve"> Considering the criteria for the filtering, 54 files passed the first filter. Six of them were intentionally, shown in table 1. </w:t>
      </w:r>
      <w:r w:rsidRPr="00636B59">
        <w:rPr>
          <w:rFonts w:ascii="Arial" w:hAnsi="Arial"/>
          <w:color w:val="000000"/>
          <w:lang w:val="en-US"/>
        </w:rPr>
        <w:t>The main results from each of t</w:t>
      </w:r>
      <w:r>
        <w:rPr>
          <w:rFonts w:ascii="Arial" w:hAnsi="Arial"/>
          <w:color w:val="000000"/>
          <w:lang w:val="en-US"/>
        </w:rPr>
        <w:t xml:space="preserve">he documents reviewed were summarized and are shown </w:t>
      </w:r>
      <w:r w:rsidRPr="00636B59">
        <w:rPr>
          <w:rFonts w:ascii="Arial" w:hAnsi="Arial"/>
          <w:color w:val="000000"/>
          <w:lang w:val="en-US"/>
        </w:rPr>
        <w:t>in tables</w:t>
      </w:r>
      <w:r>
        <w:rPr>
          <w:rFonts w:ascii="Arial" w:hAnsi="Arial"/>
          <w:color w:val="000000"/>
          <w:lang w:val="en-US"/>
        </w:rPr>
        <w:t xml:space="preserve"> 2 to 6.</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p>
    <w:p w:rsidR="00925350" w:rsidRPr="00994DBE" w:rsidRDefault="00925350" w:rsidP="00994DBE">
      <w:pPr>
        <w:pStyle w:val="ListParagraph"/>
        <w:spacing w:after="120" w:line="240" w:lineRule="auto"/>
        <w:ind w:left="0"/>
        <w:contextualSpacing w:val="0"/>
        <w:jc w:val="both"/>
        <w:rPr>
          <w:rFonts w:ascii="Arial" w:hAnsi="Arial"/>
          <w:color w:val="000000"/>
          <w:lang w:val="en-US"/>
        </w:rPr>
      </w:pPr>
      <w:r w:rsidRPr="00994DBE">
        <w:rPr>
          <w:rFonts w:ascii="Arial" w:hAnsi="Arial"/>
          <w:color w:val="000000"/>
          <w:lang w:val="en-US"/>
        </w:rPr>
        <w:t xml:space="preserve">Table 1: Cases selected for </w:t>
      </w:r>
      <w:r>
        <w:rPr>
          <w:rFonts w:ascii="Arial" w:hAnsi="Arial"/>
          <w:color w:val="000000"/>
          <w:lang w:val="en-US"/>
        </w:rPr>
        <w:t>research</w:t>
      </w:r>
    </w:p>
    <w:tbl>
      <w:tblPr>
        <w:tblW w:w="9322" w:type="dxa"/>
        <w:tblLayout w:type="fixed"/>
        <w:tblLook w:val="00A0"/>
      </w:tblPr>
      <w:tblGrid>
        <w:gridCol w:w="426"/>
        <w:gridCol w:w="850"/>
        <w:gridCol w:w="2518"/>
        <w:gridCol w:w="1921"/>
        <w:gridCol w:w="1261"/>
        <w:gridCol w:w="962"/>
        <w:gridCol w:w="1384"/>
      </w:tblGrid>
      <w:tr w:rsidR="00925350" w:rsidRPr="006B690D" w:rsidTr="006B690D">
        <w:tc>
          <w:tcPr>
            <w:tcW w:w="426" w:type="dxa"/>
            <w:tcBorders>
              <w:top w:val="single" w:sz="12" w:space="0" w:color="auto"/>
              <w:bottom w:val="single" w:sz="4" w:space="0" w:color="auto"/>
            </w:tcBorders>
            <w:vAlign w:val="center"/>
          </w:tcPr>
          <w:p w:rsidR="00925350" w:rsidRPr="006B690D" w:rsidRDefault="00925350" w:rsidP="006B690D">
            <w:pPr>
              <w:pStyle w:val="ListParagraph"/>
              <w:spacing w:before="60" w:after="60" w:line="240" w:lineRule="auto"/>
              <w:ind w:left="0"/>
              <w:contextualSpacing w:val="0"/>
              <w:jc w:val="center"/>
              <w:rPr>
                <w:rFonts w:ascii="Arial" w:hAnsi="Arial"/>
                <w:b/>
                <w:color w:val="000000"/>
              </w:rPr>
            </w:pPr>
            <w:r w:rsidRPr="006B690D">
              <w:rPr>
                <w:rFonts w:ascii="Arial" w:hAnsi="Arial"/>
                <w:b/>
                <w:color w:val="000000"/>
              </w:rPr>
              <w:t>#</w:t>
            </w:r>
          </w:p>
        </w:tc>
        <w:tc>
          <w:tcPr>
            <w:tcW w:w="850" w:type="dxa"/>
            <w:tcBorders>
              <w:top w:val="single" w:sz="12" w:space="0" w:color="auto"/>
              <w:bottom w:val="single" w:sz="4" w:space="0" w:color="auto"/>
            </w:tcBorders>
          </w:tcPr>
          <w:p w:rsidR="00925350" w:rsidRPr="006B690D" w:rsidRDefault="00925350" w:rsidP="006B690D">
            <w:pPr>
              <w:pStyle w:val="ListParagraph"/>
              <w:spacing w:before="60" w:after="60" w:line="240" w:lineRule="auto"/>
              <w:ind w:left="0"/>
              <w:contextualSpacing w:val="0"/>
              <w:jc w:val="both"/>
              <w:rPr>
                <w:rFonts w:ascii="Arial" w:hAnsi="Arial"/>
                <w:b/>
                <w:color w:val="000000"/>
              </w:rPr>
            </w:pPr>
            <w:r w:rsidRPr="006B690D">
              <w:rPr>
                <w:rFonts w:ascii="Arial" w:hAnsi="Arial"/>
                <w:b/>
                <w:color w:val="000000"/>
              </w:rPr>
              <w:t>Year</w:t>
            </w:r>
          </w:p>
        </w:tc>
        <w:tc>
          <w:tcPr>
            <w:tcW w:w="2518" w:type="dxa"/>
            <w:tcBorders>
              <w:top w:val="single" w:sz="12" w:space="0" w:color="auto"/>
              <w:bottom w:val="single" w:sz="4" w:space="0" w:color="auto"/>
            </w:tcBorders>
          </w:tcPr>
          <w:p w:rsidR="00925350" w:rsidRPr="006B690D" w:rsidRDefault="00925350" w:rsidP="006B690D">
            <w:pPr>
              <w:pStyle w:val="ListParagraph"/>
              <w:spacing w:before="60" w:after="60" w:line="240" w:lineRule="auto"/>
              <w:ind w:left="0"/>
              <w:contextualSpacing w:val="0"/>
              <w:jc w:val="both"/>
              <w:rPr>
                <w:rFonts w:ascii="Arial" w:hAnsi="Arial"/>
                <w:b/>
                <w:color w:val="000000"/>
              </w:rPr>
            </w:pPr>
            <w:r w:rsidRPr="006B690D">
              <w:rPr>
                <w:rFonts w:ascii="Arial" w:hAnsi="Arial"/>
                <w:b/>
                <w:color w:val="000000"/>
              </w:rPr>
              <w:t>Proponent</w:t>
            </w:r>
          </w:p>
        </w:tc>
        <w:tc>
          <w:tcPr>
            <w:tcW w:w="1921" w:type="dxa"/>
            <w:tcBorders>
              <w:top w:val="single" w:sz="12" w:space="0" w:color="auto"/>
              <w:bottom w:val="single" w:sz="4" w:space="0" w:color="auto"/>
            </w:tcBorders>
          </w:tcPr>
          <w:p w:rsidR="00925350" w:rsidRPr="006B690D" w:rsidRDefault="00925350" w:rsidP="006B690D">
            <w:pPr>
              <w:pStyle w:val="ListParagraph"/>
              <w:spacing w:before="60" w:after="60" w:line="240" w:lineRule="auto"/>
              <w:ind w:left="0"/>
              <w:contextualSpacing w:val="0"/>
              <w:jc w:val="both"/>
              <w:rPr>
                <w:rFonts w:ascii="Arial" w:hAnsi="Arial"/>
                <w:b/>
                <w:color w:val="000000"/>
              </w:rPr>
            </w:pPr>
            <w:r w:rsidRPr="006B690D">
              <w:rPr>
                <w:rFonts w:ascii="Arial" w:hAnsi="Arial"/>
                <w:b/>
                <w:color w:val="000000"/>
              </w:rPr>
              <w:t>Municipality</w:t>
            </w:r>
          </w:p>
        </w:tc>
        <w:tc>
          <w:tcPr>
            <w:tcW w:w="1261" w:type="dxa"/>
            <w:tcBorders>
              <w:top w:val="single" w:sz="12" w:space="0" w:color="auto"/>
              <w:bottom w:val="single" w:sz="4" w:space="0" w:color="auto"/>
            </w:tcBorders>
          </w:tcPr>
          <w:p w:rsidR="00925350" w:rsidRPr="006B690D" w:rsidRDefault="00925350" w:rsidP="006B690D">
            <w:pPr>
              <w:pStyle w:val="ListParagraph"/>
              <w:spacing w:before="60" w:after="60" w:line="240" w:lineRule="auto"/>
              <w:ind w:left="0"/>
              <w:contextualSpacing w:val="0"/>
              <w:jc w:val="both"/>
              <w:rPr>
                <w:rFonts w:ascii="Arial" w:hAnsi="Arial"/>
                <w:b/>
                <w:color w:val="000000"/>
              </w:rPr>
            </w:pPr>
            <w:r w:rsidRPr="006B690D">
              <w:rPr>
                <w:rFonts w:ascii="Arial" w:hAnsi="Arial"/>
                <w:b/>
                <w:color w:val="000000"/>
              </w:rPr>
              <w:t>Rock</w:t>
            </w:r>
          </w:p>
        </w:tc>
        <w:tc>
          <w:tcPr>
            <w:tcW w:w="962" w:type="dxa"/>
            <w:tcBorders>
              <w:top w:val="single" w:sz="12" w:space="0" w:color="auto"/>
              <w:bottom w:val="single" w:sz="4" w:space="0" w:color="auto"/>
            </w:tcBorders>
          </w:tcPr>
          <w:p w:rsidR="00925350" w:rsidRPr="006B690D" w:rsidRDefault="00925350" w:rsidP="006B690D">
            <w:pPr>
              <w:pStyle w:val="ListParagraph"/>
              <w:spacing w:before="60" w:after="60" w:line="240" w:lineRule="auto"/>
              <w:ind w:left="0"/>
              <w:contextualSpacing w:val="0"/>
              <w:jc w:val="both"/>
              <w:rPr>
                <w:rFonts w:ascii="Arial" w:hAnsi="Arial"/>
                <w:b/>
                <w:color w:val="000000"/>
              </w:rPr>
            </w:pPr>
            <w:r w:rsidRPr="006B690D">
              <w:rPr>
                <w:rFonts w:ascii="Arial" w:hAnsi="Arial"/>
                <w:b/>
                <w:color w:val="000000"/>
              </w:rPr>
              <w:t>Setting</w:t>
            </w:r>
          </w:p>
        </w:tc>
        <w:tc>
          <w:tcPr>
            <w:tcW w:w="1384" w:type="dxa"/>
            <w:tcBorders>
              <w:top w:val="single" w:sz="12" w:space="0" w:color="auto"/>
              <w:bottom w:val="single" w:sz="4" w:space="0" w:color="auto"/>
            </w:tcBorders>
          </w:tcPr>
          <w:p w:rsidR="00925350" w:rsidRPr="006B690D" w:rsidRDefault="00925350" w:rsidP="006B690D">
            <w:pPr>
              <w:pStyle w:val="ListParagraph"/>
              <w:spacing w:before="60" w:after="60" w:line="240" w:lineRule="auto"/>
              <w:ind w:left="0"/>
              <w:contextualSpacing w:val="0"/>
              <w:jc w:val="both"/>
              <w:rPr>
                <w:rFonts w:ascii="Arial" w:hAnsi="Arial"/>
                <w:b/>
                <w:color w:val="000000"/>
              </w:rPr>
            </w:pPr>
            <w:r w:rsidRPr="006B690D">
              <w:rPr>
                <w:rFonts w:ascii="Arial" w:hAnsi="Arial"/>
                <w:b/>
                <w:color w:val="000000"/>
              </w:rPr>
              <w:t>ROM (t/yr)</w:t>
            </w:r>
          </w:p>
        </w:tc>
      </w:tr>
      <w:tr w:rsidR="00925350" w:rsidRPr="006B690D" w:rsidTr="006B690D">
        <w:tc>
          <w:tcPr>
            <w:tcW w:w="426" w:type="dxa"/>
            <w:tcBorders>
              <w:top w:val="single" w:sz="4"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1</w:t>
            </w:r>
          </w:p>
        </w:tc>
        <w:tc>
          <w:tcPr>
            <w:tcW w:w="850" w:type="dxa"/>
            <w:tcBorders>
              <w:top w:val="single" w:sz="4"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1990</w:t>
            </w:r>
          </w:p>
        </w:tc>
        <w:tc>
          <w:tcPr>
            <w:tcW w:w="2518" w:type="dxa"/>
            <w:tcBorders>
              <w:top w:val="single" w:sz="4"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Paupedra</w:t>
            </w:r>
          </w:p>
        </w:tc>
        <w:tc>
          <w:tcPr>
            <w:tcW w:w="1921" w:type="dxa"/>
            <w:tcBorders>
              <w:top w:val="single" w:sz="4"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Guarulhos</w:t>
            </w:r>
          </w:p>
        </w:tc>
        <w:tc>
          <w:tcPr>
            <w:tcW w:w="1261" w:type="dxa"/>
            <w:tcBorders>
              <w:top w:val="single" w:sz="4"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Granite</w:t>
            </w:r>
          </w:p>
        </w:tc>
        <w:tc>
          <w:tcPr>
            <w:tcW w:w="962" w:type="dxa"/>
            <w:tcBorders>
              <w:top w:val="single" w:sz="4"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Urban</w:t>
            </w:r>
          </w:p>
        </w:tc>
        <w:tc>
          <w:tcPr>
            <w:tcW w:w="1384" w:type="dxa"/>
            <w:tcBorders>
              <w:top w:val="single" w:sz="4" w:space="0" w:color="auto"/>
            </w:tcBorders>
          </w:tcPr>
          <w:p w:rsidR="00925350" w:rsidRPr="006B690D" w:rsidRDefault="00925350" w:rsidP="006B690D">
            <w:pPr>
              <w:pStyle w:val="ListParagraph"/>
              <w:spacing w:after="0" w:line="240" w:lineRule="auto"/>
              <w:ind w:left="0" w:right="175"/>
              <w:contextualSpacing w:val="0"/>
              <w:jc w:val="right"/>
              <w:rPr>
                <w:rFonts w:ascii="Arial" w:hAnsi="Arial"/>
                <w:color w:val="000000"/>
              </w:rPr>
            </w:pPr>
            <w:r w:rsidRPr="006B690D">
              <w:rPr>
                <w:rFonts w:ascii="Arial" w:hAnsi="Arial"/>
                <w:color w:val="000000"/>
              </w:rPr>
              <w:t>2,000,000</w:t>
            </w:r>
          </w:p>
        </w:tc>
      </w:tr>
      <w:tr w:rsidR="00925350" w:rsidRPr="006B690D" w:rsidTr="006B690D">
        <w:tc>
          <w:tcPr>
            <w:tcW w:w="426"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2</w:t>
            </w:r>
          </w:p>
        </w:tc>
        <w:tc>
          <w:tcPr>
            <w:tcW w:w="850"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1992</w:t>
            </w:r>
          </w:p>
        </w:tc>
        <w:tc>
          <w:tcPr>
            <w:tcW w:w="2518"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Horizonte Novo</w:t>
            </w:r>
          </w:p>
        </w:tc>
        <w:tc>
          <w:tcPr>
            <w:tcW w:w="1921"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 xml:space="preserve">Ribeirão Branco </w:t>
            </w:r>
          </w:p>
        </w:tc>
        <w:tc>
          <w:tcPr>
            <w:tcW w:w="1261"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Limestone</w:t>
            </w:r>
          </w:p>
        </w:tc>
        <w:tc>
          <w:tcPr>
            <w:tcW w:w="962"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Rural</w:t>
            </w:r>
          </w:p>
        </w:tc>
        <w:tc>
          <w:tcPr>
            <w:tcW w:w="1384" w:type="dxa"/>
          </w:tcPr>
          <w:p w:rsidR="00925350" w:rsidRPr="006B690D" w:rsidRDefault="00925350" w:rsidP="006B690D">
            <w:pPr>
              <w:pStyle w:val="ListParagraph"/>
              <w:spacing w:after="0" w:line="240" w:lineRule="auto"/>
              <w:ind w:left="0" w:right="175"/>
              <w:contextualSpacing w:val="0"/>
              <w:jc w:val="right"/>
              <w:rPr>
                <w:rFonts w:ascii="Arial" w:hAnsi="Arial"/>
                <w:color w:val="000000"/>
              </w:rPr>
            </w:pPr>
            <w:r w:rsidRPr="006B690D">
              <w:rPr>
                <w:rFonts w:ascii="Arial" w:hAnsi="Arial"/>
                <w:color w:val="000000"/>
              </w:rPr>
              <w:t>360,000</w:t>
            </w:r>
          </w:p>
        </w:tc>
      </w:tr>
      <w:tr w:rsidR="00925350" w:rsidRPr="006B690D" w:rsidTr="006B690D">
        <w:tc>
          <w:tcPr>
            <w:tcW w:w="426"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3</w:t>
            </w:r>
          </w:p>
        </w:tc>
        <w:tc>
          <w:tcPr>
            <w:tcW w:w="850"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1998</w:t>
            </w:r>
          </w:p>
        </w:tc>
        <w:tc>
          <w:tcPr>
            <w:tcW w:w="2518"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Iúdice Mineração</w:t>
            </w:r>
          </w:p>
        </w:tc>
        <w:tc>
          <w:tcPr>
            <w:tcW w:w="1921"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São Paulo</w:t>
            </w:r>
          </w:p>
        </w:tc>
        <w:tc>
          <w:tcPr>
            <w:tcW w:w="1261"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Granite</w:t>
            </w:r>
          </w:p>
        </w:tc>
        <w:tc>
          <w:tcPr>
            <w:tcW w:w="962"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Urban</w:t>
            </w:r>
          </w:p>
        </w:tc>
        <w:tc>
          <w:tcPr>
            <w:tcW w:w="1384" w:type="dxa"/>
          </w:tcPr>
          <w:p w:rsidR="00925350" w:rsidRPr="006B690D" w:rsidRDefault="00925350" w:rsidP="006B690D">
            <w:pPr>
              <w:pStyle w:val="ListParagraph"/>
              <w:spacing w:after="0" w:line="240" w:lineRule="auto"/>
              <w:ind w:left="0" w:right="175"/>
              <w:contextualSpacing w:val="0"/>
              <w:jc w:val="right"/>
              <w:rPr>
                <w:rFonts w:ascii="Arial" w:hAnsi="Arial"/>
                <w:color w:val="000000"/>
              </w:rPr>
            </w:pPr>
            <w:r w:rsidRPr="006B690D">
              <w:rPr>
                <w:rFonts w:ascii="Arial" w:hAnsi="Arial"/>
                <w:color w:val="000000"/>
              </w:rPr>
              <w:t>1,400,000</w:t>
            </w:r>
          </w:p>
        </w:tc>
      </w:tr>
      <w:tr w:rsidR="00925350" w:rsidRPr="006B690D" w:rsidTr="006B690D">
        <w:tc>
          <w:tcPr>
            <w:tcW w:w="426"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4</w:t>
            </w:r>
          </w:p>
        </w:tc>
        <w:tc>
          <w:tcPr>
            <w:tcW w:w="850"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2003</w:t>
            </w:r>
          </w:p>
        </w:tc>
        <w:tc>
          <w:tcPr>
            <w:tcW w:w="2518"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CCRG</w:t>
            </w:r>
          </w:p>
        </w:tc>
        <w:tc>
          <w:tcPr>
            <w:tcW w:w="1921"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Ribeirão Grande</w:t>
            </w:r>
          </w:p>
        </w:tc>
        <w:tc>
          <w:tcPr>
            <w:tcW w:w="1261"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Limestone</w:t>
            </w:r>
          </w:p>
        </w:tc>
        <w:tc>
          <w:tcPr>
            <w:tcW w:w="962"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Rural</w:t>
            </w:r>
          </w:p>
        </w:tc>
        <w:tc>
          <w:tcPr>
            <w:tcW w:w="1384" w:type="dxa"/>
          </w:tcPr>
          <w:p w:rsidR="00925350" w:rsidRPr="006B690D" w:rsidRDefault="00925350" w:rsidP="006B690D">
            <w:pPr>
              <w:pStyle w:val="ListParagraph"/>
              <w:spacing w:after="0" w:line="240" w:lineRule="auto"/>
              <w:ind w:left="0" w:right="175"/>
              <w:contextualSpacing w:val="0"/>
              <w:jc w:val="right"/>
              <w:rPr>
                <w:rFonts w:ascii="Arial" w:hAnsi="Arial"/>
                <w:color w:val="000000"/>
              </w:rPr>
            </w:pPr>
            <w:r w:rsidRPr="006B690D">
              <w:rPr>
                <w:rFonts w:ascii="Arial" w:hAnsi="Arial"/>
                <w:color w:val="000000"/>
              </w:rPr>
              <w:t>1,450,000</w:t>
            </w:r>
          </w:p>
        </w:tc>
      </w:tr>
      <w:tr w:rsidR="00925350" w:rsidRPr="006B690D" w:rsidTr="006B690D">
        <w:tc>
          <w:tcPr>
            <w:tcW w:w="426"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5</w:t>
            </w:r>
          </w:p>
        </w:tc>
        <w:tc>
          <w:tcPr>
            <w:tcW w:w="850"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2012</w:t>
            </w:r>
          </w:p>
        </w:tc>
        <w:tc>
          <w:tcPr>
            <w:tcW w:w="2518"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Votorantim Cimentos</w:t>
            </w:r>
          </w:p>
        </w:tc>
        <w:tc>
          <w:tcPr>
            <w:tcW w:w="1921" w:type="dxa"/>
            <w:vAlign w:val="center"/>
          </w:tcPr>
          <w:p w:rsidR="00925350" w:rsidRPr="006B690D" w:rsidRDefault="00925350" w:rsidP="006B690D">
            <w:pPr>
              <w:pStyle w:val="ListParagraph"/>
              <w:spacing w:after="0" w:line="240" w:lineRule="auto"/>
              <w:ind w:left="0"/>
              <w:contextualSpacing w:val="0"/>
              <w:rPr>
                <w:rFonts w:ascii="Arial" w:hAnsi="Arial"/>
                <w:color w:val="000000"/>
              </w:rPr>
            </w:pPr>
            <w:r w:rsidRPr="006B690D">
              <w:rPr>
                <w:rFonts w:ascii="Arial" w:hAnsi="Arial"/>
                <w:color w:val="000000"/>
              </w:rPr>
              <w:t>Salto de Pirapora</w:t>
            </w:r>
          </w:p>
        </w:tc>
        <w:tc>
          <w:tcPr>
            <w:tcW w:w="1261"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Limestone</w:t>
            </w:r>
          </w:p>
        </w:tc>
        <w:tc>
          <w:tcPr>
            <w:tcW w:w="962" w:type="dxa"/>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Rural</w:t>
            </w:r>
          </w:p>
        </w:tc>
        <w:tc>
          <w:tcPr>
            <w:tcW w:w="1384" w:type="dxa"/>
          </w:tcPr>
          <w:p w:rsidR="00925350" w:rsidRPr="006B690D" w:rsidRDefault="00925350" w:rsidP="006B690D">
            <w:pPr>
              <w:pStyle w:val="ListParagraph"/>
              <w:spacing w:after="0" w:line="240" w:lineRule="auto"/>
              <w:ind w:left="0" w:right="175"/>
              <w:contextualSpacing w:val="0"/>
              <w:jc w:val="right"/>
              <w:rPr>
                <w:rFonts w:ascii="Arial" w:hAnsi="Arial"/>
                <w:color w:val="000000"/>
              </w:rPr>
            </w:pPr>
            <w:r w:rsidRPr="006B690D">
              <w:rPr>
                <w:rFonts w:ascii="Arial" w:hAnsi="Arial"/>
                <w:color w:val="000000"/>
              </w:rPr>
              <w:t>7,400,000</w:t>
            </w:r>
          </w:p>
        </w:tc>
      </w:tr>
      <w:tr w:rsidR="00925350" w:rsidRPr="006B690D" w:rsidTr="006B690D">
        <w:tc>
          <w:tcPr>
            <w:tcW w:w="426" w:type="dxa"/>
            <w:tcBorders>
              <w:bottom w:val="single" w:sz="12"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6</w:t>
            </w:r>
          </w:p>
        </w:tc>
        <w:tc>
          <w:tcPr>
            <w:tcW w:w="850" w:type="dxa"/>
            <w:tcBorders>
              <w:bottom w:val="single" w:sz="12"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2013</w:t>
            </w:r>
          </w:p>
        </w:tc>
        <w:tc>
          <w:tcPr>
            <w:tcW w:w="2518" w:type="dxa"/>
            <w:tcBorders>
              <w:bottom w:val="single" w:sz="12"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Leão Engenharia</w:t>
            </w:r>
          </w:p>
        </w:tc>
        <w:tc>
          <w:tcPr>
            <w:tcW w:w="1921" w:type="dxa"/>
            <w:tcBorders>
              <w:bottom w:val="single" w:sz="12"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 xml:space="preserve">Jardinópolis </w:t>
            </w:r>
          </w:p>
        </w:tc>
        <w:tc>
          <w:tcPr>
            <w:tcW w:w="1261" w:type="dxa"/>
            <w:tcBorders>
              <w:bottom w:val="single" w:sz="12"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Basalt</w:t>
            </w:r>
          </w:p>
        </w:tc>
        <w:tc>
          <w:tcPr>
            <w:tcW w:w="962" w:type="dxa"/>
            <w:tcBorders>
              <w:bottom w:val="single" w:sz="12" w:space="0" w:color="auto"/>
            </w:tcBorders>
          </w:tcPr>
          <w:p w:rsidR="00925350" w:rsidRPr="006B690D" w:rsidRDefault="00925350" w:rsidP="006B690D">
            <w:pPr>
              <w:pStyle w:val="ListParagraph"/>
              <w:spacing w:after="0" w:line="240" w:lineRule="auto"/>
              <w:ind w:left="0"/>
              <w:contextualSpacing w:val="0"/>
              <w:jc w:val="both"/>
              <w:rPr>
                <w:rFonts w:ascii="Arial" w:hAnsi="Arial"/>
                <w:color w:val="000000"/>
              </w:rPr>
            </w:pPr>
            <w:r w:rsidRPr="006B690D">
              <w:rPr>
                <w:rFonts w:ascii="Arial" w:hAnsi="Arial"/>
                <w:color w:val="000000"/>
              </w:rPr>
              <w:t>Rural</w:t>
            </w:r>
          </w:p>
        </w:tc>
        <w:tc>
          <w:tcPr>
            <w:tcW w:w="1384" w:type="dxa"/>
            <w:tcBorders>
              <w:bottom w:val="single" w:sz="12" w:space="0" w:color="auto"/>
            </w:tcBorders>
          </w:tcPr>
          <w:p w:rsidR="00925350" w:rsidRPr="006B690D" w:rsidRDefault="00925350" w:rsidP="006B690D">
            <w:pPr>
              <w:pStyle w:val="ListParagraph"/>
              <w:spacing w:after="0" w:line="240" w:lineRule="auto"/>
              <w:ind w:left="0" w:right="175"/>
              <w:contextualSpacing w:val="0"/>
              <w:jc w:val="right"/>
              <w:rPr>
                <w:rFonts w:ascii="Arial" w:hAnsi="Arial"/>
                <w:color w:val="000000"/>
              </w:rPr>
            </w:pPr>
            <w:r w:rsidRPr="006B690D">
              <w:rPr>
                <w:rFonts w:ascii="Arial" w:hAnsi="Arial"/>
                <w:color w:val="000000"/>
              </w:rPr>
              <w:t>1,200,000</w:t>
            </w:r>
          </w:p>
        </w:tc>
      </w:tr>
    </w:tbl>
    <w:p w:rsidR="00925350" w:rsidRPr="00221433" w:rsidRDefault="00925350" w:rsidP="00221433">
      <w:pPr>
        <w:pStyle w:val="ListParagraph"/>
        <w:spacing w:after="0" w:line="240" w:lineRule="auto"/>
        <w:ind w:left="0"/>
        <w:contextualSpacing w:val="0"/>
        <w:jc w:val="both"/>
        <w:rPr>
          <w:rFonts w:ascii="Arial" w:hAnsi="Arial"/>
          <w:color w:val="000000"/>
          <w:sz w:val="20"/>
          <w:szCs w:val="20"/>
          <w:lang w:val="en-US"/>
        </w:rPr>
      </w:pPr>
      <w:r w:rsidRPr="00221433">
        <w:rPr>
          <w:rFonts w:ascii="Arial" w:hAnsi="Arial"/>
          <w:color w:val="000000"/>
          <w:sz w:val="20"/>
          <w:szCs w:val="20"/>
          <w:lang w:val="en-US"/>
        </w:rPr>
        <w:t>R.O.M.: run of mine</w:t>
      </w:r>
    </w:p>
    <w:p w:rsidR="00925350" w:rsidRPr="00636B59" w:rsidRDefault="00925350" w:rsidP="00FD09C4">
      <w:pPr>
        <w:pStyle w:val="ListParagraph"/>
        <w:spacing w:after="0" w:line="240" w:lineRule="auto"/>
        <w:ind w:left="0" w:firstLine="851"/>
        <w:contextualSpacing w:val="0"/>
        <w:jc w:val="both"/>
        <w:rPr>
          <w:rFonts w:ascii="Arial" w:hAnsi="Arial"/>
          <w:color w:val="000000"/>
          <w:highlight w:val="yellow"/>
          <w:lang w:val="en-US"/>
        </w:rPr>
      </w:pPr>
    </w:p>
    <w:p w:rsidR="00925350" w:rsidRPr="00294F42" w:rsidRDefault="00925350" w:rsidP="00994DBE">
      <w:pPr>
        <w:pStyle w:val="ListParagraph"/>
        <w:spacing w:after="120" w:line="240" w:lineRule="auto"/>
        <w:ind w:left="0"/>
        <w:contextualSpacing w:val="0"/>
        <w:jc w:val="both"/>
        <w:rPr>
          <w:rFonts w:ascii="Arial" w:hAnsi="Arial"/>
          <w:color w:val="000000"/>
          <w:u w:val="single"/>
          <w:lang w:val="en-US"/>
        </w:rPr>
      </w:pPr>
      <w:r w:rsidRPr="00294F42">
        <w:rPr>
          <w:rFonts w:ascii="Arial" w:hAnsi="Arial"/>
          <w:color w:val="000000"/>
          <w:lang w:val="en-US"/>
        </w:rPr>
        <w:t xml:space="preserve">Table 2: </w:t>
      </w:r>
      <w:r>
        <w:rPr>
          <w:rFonts w:ascii="Arial" w:hAnsi="Arial"/>
          <w:color w:val="000000"/>
          <w:lang w:val="en-US"/>
        </w:rPr>
        <w:t>C</w:t>
      </w:r>
      <w:r w:rsidRPr="00294F42">
        <w:rPr>
          <w:rFonts w:ascii="Arial" w:hAnsi="Arial"/>
          <w:color w:val="000000"/>
          <w:lang w:val="en-US"/>
        </w:rPr>
        <w:t xml:space="preserve">omparison </w:t>
      </w:r>
      <w:r>
        <w:rPr>
          <w:rFonts w:ascii="Arial" w:hAnsi="Arial"/>
          <w:color w:val="000000"/>
          <w:lang w:val="en-US"/>
        </w:rPr>
        <w:t xml:space="preserve">of </w:t>
      </w:r>
      <w:r w:rsidRPr="00294F42">
        <w:rPr>
          <w:rFonts w:ascii="Arial" w:hAnsi="Arial"/>
          <w:color w:val="000000"/>
          <w:lang w:val="en-US"/>
        </w:rPr>
        <w:t>ToR main results</w:t>
      </w:r>
    </w:p>
    <w:tbl>
      <w:tblPr>
        <w:tblW w:w="9213" w:type="dxa"/>
        <w:tblInd w:w="108" w:type="dxa"/>
        <w:tblLayout w:type="fixed"/>
        <w:tblLook w:val="00A0"/>
      </w:tblPr>
      <w:tblGrid>
        <w:gridCol w:w="5103"/>
        <w:gridCol w:w="685"/>
        <w:gridCol w:w="685"/>
        <w:gridCol w:w="685"/>
        <w:gridCol w:w="685"/>
        <w:gridCol w:w="685"/>
        <w:gridCol w:w="685"/>
      </w:tblGrid>
      <w:tr w:rsidR="00925350" w:rsidRPr="006B690D" w:rsidTr="006B690D">
        <w:tc>
          <w:tcPr>
            <w:tcW w:w="5103" w:type="dxa"/>
            <w:vMerge w:val="restart"/>
            <w:tcBorders>
              <w:top w:val="single" w:sz="12"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s="Arial"/>
                <w:b/>
                <w:color w:val="000000"/>
              </w:rPr>
            </w:pPr>
            <w:r w:rsidRPr="006B690D">
              <w:rPr>
                <w:rFonts w:ascii="Arial" w:hAnsi="Arial" w:cs="Arial"/>
                <w:b/>
                <w:color w:val="000000"/>
              </w:rPr>
              <w:t>Question</w:t>
            </w:r>
          </w:p>
        </w:tc>
        <w:tc>
          <w:tcPr>
            <w:tcW w:w="4110" w:type="dxa"/>
            <w:gridSpan w:val="6"/>
            <w:tcBorders>
              <w:top w:val="single" w:sz="12" w:space="0" w:color="auto"/>
              <w:bottom w:val="single" w:sz="4" w:space="0" w:color="auto"/>
            </w:tcBorders>
          </w:tcPr>
          <w:p w:rsidR="00925350" w:rsidRPr="006B690D" w:rsidRDefault="00925350" w:rsidP="006B690D">
            <w:pPr>
              <w:pStyle w:val="ListParagraph"/>
              <w:spacing w:after="0" w:line="240" w:lineRule="auto"/>
              <w:ind w:left="0"/>
              <w:contextualSpacing w:val="0"/>
              <w:jc w:val="center"/>
              <w:rPr>
                <w:rFonts w:ascii="Arial" w:hAnsi="Arial" w:cs="Arial"/>
                <w:b/>
                <w:color w:val="000000"/>
              </w:rPr>
            </w:pPr>
            <w:r w:rsidRPr="006B690D">
              <w:rPr>
                <w:rFonts w:ascii="Arial" w:hAnsi="Arial" w:cs="Arial"/>
                <w:b/>
                <w:color w:val="000000"/>
              </w:rPr>
              <w:t>Case</w:t>
            </w:r>
          </w:p>
        </w:tc>
      </w:tr>
      <w:tr w:rsidR="00925350" w:rsidRPr="006B690D" w:rsidTr="006B690D">
        <w:trPr>
          <w:trHeight w:val="233"/>
        </w:trPr>
        <w:tc>
          <w:tcPr>
            <w:tcW w:w="5103" w:type="dxa"/>
            <w:vMerge/>
            <w:tcBorders>
              <w:bottom w:val="single" w:sz="4" w:space="0" w:color="auto"/>
            </w:tcBorders>
            <w:vAlign w:val="center"/>
          </w:tcPr>
          <w:p w:rsidR="00925350" w:rsidRPr="006B690D" w:rsidRDefault="00925350" w:rsidP="006B690D">
            <w:pPr>
              <w:spacing w:before="120" w:after="120" w:line="360" w:lineRule="auto"/>
              <w:jc w:val="center"/>
              <w:rPr>
                <w:rFonts w:ascii="Arial" w:hAnsi="Arial" w:cs="Arial"/>
                <w:b/>
                <w:sz w:val="18"/>
                <w:szCs w:val="18"/>
              </w:rPr>
            </w:pPr>
          </w:p>
        </w:tc>
        <w:tc>
          <w:tcPr>
            <w:tcW w:w="685"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1</w:t>
            </w:r>
          </w:p>
        </w:tc>
        <w:tc>
          <w:tcPr>
            <w:tcW w:w="685"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2</w:t>
            </w:r>
          </w:p>
        </w:tc>
        <w:tc>
          <w:tcPr>
            <w:tcW w:w="685"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3</w:t>
            </w:r>
          </w:p>
        </w:tc>
        <w:tc>
          <w:tcPr>
            <w:tcW w:w="685"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4</w:t>
            </w:r>
          </w:p>
        </w:tc>
        <w:tc>
          <w:tcPr>
            <w:tcW w:w="685"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5</w:t>
            </w:r>
          </w:p>
        </w:tc>
        <w:tc>
          <w:tcPr>
            <w:tcW w:w="685"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6</w:t>
            </w:r>
          </w:p>
        </w:tc>
      </w:tr>
      <w:tr w:rsidR="00925350" w:rsidRPr="006B690D" w:rsidTr="006B690D">
        <w:tc>
          <w:tcPr>
            <w:tcW w:w="5103" w:type="dxa"/>
            <w:tcBorders>
              <w:top w:val="single" w:sz="4" w:space="0" w:color="auto"/>
            </w:tcBorders>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Are there ToR for the EIS?</w:t>
            </w:r>
          </w:p>
        </w:tc>
        <w:tc>
          <w:tcPr>
            <w:tcW w:w="685" w:type="dxa"/>
            <w:tcBorders>
              <w:top w:val="single" w:sz="4"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tcBorders>
              <w:top w:val="single" w:sz="4"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tcBorders>
              <w:top w:val="single" w:sz="4"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tcBorders>
              <w:top w:val="single" w:sz="4"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tcBorders>
              <w:top w:val="single" w:sz="4"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tcBorders>
              <w:top w:val="single" w:sz="4"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r>
      <w:tr w:rsidR="00925350" w:rsidRPr="006B690D" w:rsidTr="006B690D">
        <w:tc>
          <w:tcPr>
            <w:tcW w:w="5103" w:type="dxa"/>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How many pages does it have?</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10</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3</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17</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25</w:t>
            </w:r>
          </w:p>
        </w:tc>
      </w:tr>
      <w:tr w:rsidR="00925350" w:rsidRPr="006B690D" w:rsidTr="006B690D">
        <w:tc>
          <w:tcPr>
            <w:tcW w:w="5103" w:type="dxa"/>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 xml:space="preserve">Did the public take part on it? </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r>
      <w:tr w:rsidR="00925350" w:rsidRPr="006B690D" w:rsidTr="006B690D">
        <w:tc>
          <w:tcPr>
            <w:tcW w:w="5103" w:type="dxa"/>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Did any other public agency made considerations or contribute to the ToR?</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r>
      <w:tr w:rsidR="00925350" w:rsidRPr="006B690D" w:rsidTr="006B690D">
        <w:tc>
          <w:tcPr>
            <w:tcW w:w="5103" w:type="dxa"/>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 xml:space="preserve">Do they have guidelines for the baseline? </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r>
      <w:tr w:rsidR="00925350" w:rsidRPr="006B690D" w:rsidTr="006B690D">
        <w:trPr>
          <w:trHeight w:val="124"/>
        </w:trPr>
        <w:tc>
          <w:tcPr>
            <w:tcW w:w="5103" w:type="dxa"/>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Do they have guidelines for determining impact significance?</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r>
      <w:tr w:rsidR="00925350" w:rsidRPr="006B690D" w:rsidTr="006B690D">
        <w:trPr>
          <w:trHeight w:val="126"/>
        </w:trPr>
        <w:tc>
          <w:tcPr>
            <w:tcW w:w="5103" w:type="dxa"/>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Do they have guidelines for mitigation?</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r>
      <w:tr w:rsidR="00925350" w:rsidRPr="006B690D" w:rsidTr="006B690D">
        <w:tc>
          <w:tcPr>
            <w:tcW w:w="5103" w:type="dxa"/>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Do they require assessment of cumulative or synergic impacts?</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r>
      <w:tr w:rsidR="00925350" w:rsidRPr="006B690D" w:rsidTr="006B690D">
        <w:tc>
          <w:tcPr>
            <w:tcW w:w="5103" w:type="dxa"/>
            <w:tcBorders>
              <w:bottom w:val="single" w:sz="12" w:space="0" w:color="auto"/>
            </w:tcBorders>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 xml:space="preserve">Do they have guidelines for environmental management? </w:t>
            </w:r>
          </w:p>
        </w:tc>
        <w:tc>
          <w:tcPr>
            <w:tcW w:w="685" w:type="dxa"/>
            <w:tcBorders>
              <w:bottom w:val="single" w:sz="12"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tcBorders>
              <w:bottom w:val="single" w:sz="12"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n.a.</w:t>
            </w:r>
          </w:p>
        </w:tc>
        <w:tc>
          <w:tcPr>
            <w:tcW w:w="685" w:type="dxa"/>
            <w:tcBorders>
              <w:bottom w:val="single" w:sz="12"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tcBorders>
              <w:bottom w:val="single" w:sz="12"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No</w:t>
            </w:r>
          </w:p>
        </w:tc>
        <w:tc>
          <w:tcPr>
            <w:tcW w:w="685" w:type="dxa"/>
            <w:tcBorders>
              <w:bottom w:val="single" w:sz="12"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c>
          <w:tcPr>
            <w:tcW w:w="685" w:type="dxa"/>
            <w:tcBorders>
              <w:bottom w:val="single" w:sz="12" w:space="0" w:color="auto"/>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rPr>
            </w:pPr>
            <w:r w:rsidRPr="006B690D">
              <w:rPr>
                <w:rFonts w:ascii="Arial" w:hAnsi="Arial"/>
                <w:color w:val="000000"/>
              </w:rPr>
              <w:t>Yes</w:t>
            </w:r>
          </w:p>
        </w:tc>
      </w:tr>
    </w:tbl>
    <w:p w:rsidR="00925350" w:rsidRPr="00221433" w:rsidRDefault="00925350" w:rsidP="00C42A56">
      <w:pPr>
        <w:pStyle w:val="ListParagraph"/>
        <w:spacing w:after="0" w:line="240" w:lineRule="auto"/>
        <w:ind w:left="0"/>
        <w:contextualSpacing w:val="0"/>
        <w:jc w:val="both"/>
        <w:rPr>
          <w:rFonts w:ascii="Arial" w:hAnsi="Arial"/>
          <w:color w:val="000000"/>
          <w:sz w:val="20"/>
          <w:szCs w:val="20"/>
          <w:lang w:val="en-GB"/>
        </w:rPr>
      </w:pPr>
      <w:r w:rsidRPr="00221433">
        <w:rPr>
          <w:rFonts w:ascii="Arial" w:hAnsi="Arial"/>
          <w:color w:val="000000"/>
          <w:sz w:val="20"/>
          <w:szCs w:val="20"/>
          <w:lang w:val="en-GB"/>
        </w:rPr>
        <w:t>n.a</w:t>
      </w:r>
      <w:r>
        <w:rPr>
          <w:rFonts w:ascii="Arial" w:hAnsi="Arial"/>
          <w:color w:val="000000"/>
          <w:sz w:val="20"/>
          <w:szCs w:val="20"/>
          <w:lang w:val="en-GB"/>
        </w:rPr>
        <w:t>.</w:t>
      </w:r>
      <w:r w:rsidRPr="00221433">
        <w:rPr>
          <w:rFonts w:ascii="Arial" w:hAnsi="Arial"/>
          <w:color w:val="000000"/>
          <w:sz w:val="20"/>
          <w:szCs w:val="20"/>
          <w:lang w:val="en-GB"/>
        </w:rPr>
        <w:t xml:space="preserve"> not applicable  ? unknown due to incomplete records</w:t>
      </w:r>
    </w:p>
    <w:p w:rsidR="00925350" w:rsidRPr="00C42A56" w:rsidRDefault="00925350" w:rsidP="00994DBE">
      <w:pPr>
        <w:pStyle w:val="ListParagraph"/>
        <w:spacing w:after="120" w:line="240" w:lineRule="auto"/>
        <w:ind w:left="0" w:firstLine="851"/>
        <w:contextualSpacing w:val="0"/>
        <w:jc w:val="both"/>
        <w:rPr>
          <w:rFonts w:ascii="Arial" w:hAnsi="Arial"/>
          <w:color w:val="000000"/>
          <w:highlight w:val="yellow"/>
          <w:u w:val="single"/>
          <w:lang w:val="en-GB"/>
        </w:rPr>
      </w:pPr>
    </w:p>
    <w:p w:rsidR="00925350" w:rsidRPr="00300927" w:rsidRDefault="00925350" w:rsidP="00994DBE">
      <w:pPr>
        <w:pStyle w:val="ListParagraph"/>
        <w:spacing w:after="120" w:line="240" w:lineRule="auto"/>
        <w:ind w:left="0"/>
        <w:contextualSpacing w:val="0"/>
        <w:jc w:val="both"/>
        <w:rPr>
          <w:rFonts w:ascii="Arial" w:hAnsi="Arial" w:cs="Arial"/>
          <w:color w:val="000000"/>
          <w:highlight w:val="yellow"/>
          <w:lang w:val="en-US"/>
        </w:rPr>
      </w:pPr>
      <w:r w:rsidRPr="00300927">
        <w:rPr>
          <w:rFonts w:ascii="Arial" w:hAnsi="Arial"/>
          <w:color w:val="000000"/>
          <w:lang w:val="en-US"/>
        </w:rPr>
        <w:t xml:space="preserve">Table 3: </w:t>
      </w:r>
      <w:r>
        <w:rPr>
          <w:rFonts w:ascii="Arial" w:hAnsi="Arial"/>
          <w:color w:val="000000"/>
          <w:lang w:val="en-US"/>
        </w:rPr>
        <w:t xml:space="preserve">Comparison of </w:t>
      </w:r>
      <w:r w:rsidRPr="00300927">
        <w:rPr>
          <w:rFonts w:ascii="Arial" w:hAnsi="Arial"/>
          <w:color w:val="000000"/>
          <w:lang w:val="en-US"/>
        </w:rPr>
        <w:t xml:space="preserve">Public </w:t>
      </w:r>
      <w:r>
        <w:rPr>
          <w:rFonts w:ascii="Arial" w:hAnsi="Arial"/>
          <w:color w:val="000000"/>
          <w:lang w:val="en-US"/>
        </w:rPr>
        <w:t>H</w:t>
      </w:r>
      <w:r w:rsidRPr="00300927">
        <w:rPr>
          <w:rFonts w:ascii="Arial" w:hAnsi="Arial"/>
          <w:color w:val="000000"/>
          <w:lang w:val="en-US"/>
        </w:rPr>
        <w:t xml:space="preserve">earings </w:t>
      </w:r>
      <w:r>
        <w:rPr>
          <w:rFonts w:ascii="Arial" w:hAnsi="Arial"/>
          <w:color w:val="000000"/>
          <w:lang w:val="en-US"/>
        </w:rPr>
        <w:t>R</w:t>
      </w:r>
      <w:r w:rsidRPr="00300927">
        <w:rPr>
          <w:rFonts w:ascii="Arial" w:hAnsi="Arial"/>
          <w:color w:val="000000"/>
          <w:lang w:val="en-US"/>
        </w:rPr>
        <w:t>ecords main results</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7"/>
        <w:gridCol w:w="685"/>
        <w:gridCol w:w="685"/>
        <w:gridCol w:w="685"/>
        <w:gridCol w:w="685"/>
        <w:gridCol w:w="685"/>
        <w:gridCol w:w="686"/>
      </w:tblGrid>
      <w:tr w:rsidR="00925350" w:rsidRPr="006B690D" w:rsidTr="006B690D">
        <w:tc>
          <w:tcPr>
            <w:tcW w:w="5137" w:type="dxa"/>
            <w:vMerge w:val="restart"/>
            <w:tcBorders>
              <w:top w:val="single" w:sz="12" w:space="0" w:color="auto"/>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s="Arial"/>
                <w:b/>
                <w:color w:val="000000"/>
                <w:lang w:val="en-GB"/>
              </w:rPr>
            </w:pPr>
            <w:r w:rsidRPr="006B690D">
              <w:rPr>
                <w:rFonts w:ascii="Arial" w:hAnsi="Arial" w:cs="Arial"/>
                <w:b/>
                <w:color w:val="000000"/>
                <w:lang w:val="en-GB"/>
              </w:rPr>
              <w:t>Question</w:t>
            </w:r>
          </w:p>
        </w:tc>
        <w:tc>
          <w:tcPr>
            <w:tcW w:w="4111" w:type="dxa"/>
            <w:gridSpan w:val="6"/>
            <w:tcBorders>
              <w:top w:val="single" w:sz="12" w:space="0" w:color="auto"/>
              <w:left w:val="nil"/>
              <w:right w:val="nil"/>
            </w:tcBorders>
          </w:tcPr>
          <w:p w:rsidR="00925350" w:rsidRPr="006B690D" w:rsidRDefault="00925350" w:rsidP="006B690D">
            <w:pPr>
              <w:pStyle w:val="ListParagraph"/>
              <w:spacing w:after="0" w:line="240" w:lineRule="auto"/>
              <w:ind w:left="0"/>
              <w:contextualSpacing w:val="0"/>
              <w:jc w:val="center"/>
              <w:rPr>
                <w:rFonts w:ascii="Arial" w:hAnsi="Arial" w:cs="Arial"/>
                <w:b/>
                <w:color w:val="000000"/>
                <w:lang w:val="en-GB"/>
              </w:rPr>
            </w:pPr>
            <w:r w:rsidRPr="006B690D">
              <w:rPr>
                <w:rFonts w:ascii="Arial" w:hAnsi="Arial" w:cs="Arial"/>
                <w:b/>
                <w:color w:val="000000"/>
                <w:lang w:val="en-GB"/>
              </w:rPr>
              <w:t>Case</w:t>
            </w:r>
          </w:p>
        </w:tc>
      </w:tr>
      <w:tr w:rsidR="00925350" w:rsidRPr="006B690D" w:rsidTr="006B690D">
        <w:tc>
          <w:tcPr>
            <w:tcW w:w="5137" w:type="dxa"/>
            <w:vMerge/>
            <w:tcBorders>
              <w:top w:val="nil"/>
              <w:left w:val="nil"/>
              <w:right w:val="nil"/>
            </w:tcBorders>
          </w:tcPr>
          <w:p w:rsidR="00925350" w:rsidRPr="006B690D" w:rsidRDefault="00925350" w:rsidP="006B690D">
            <w:pPr>
              <w:pStyle w:val="ListParagraph"/>
              <w:tabs>
                <w:tab w:val="left" w:pos="567"/>
              </w:tabs>
              <w:spacing w:before="120" w:after="120" w:line="360" w:lineRule="auto"/>
              <w:ind w:left="0"/>
              <w:jc w:val="both"/>
              <w:outlineLvl w:val="1"/>
              <w:rPr>
                <w:rFonts w:ascii="Times New Roman" w:hAnsi="Times New Roman"/>
                <w:b/>
                <w:sz w:val="24"/>
                <w:szCs w:val="24"/>
                <w:lang w:val="en-US"/>
              </w:rPr>
            </w:pPr>
          </w:p>
        </w:tc>
        <w:tc>
          <w:tcPr>
            <w:tcW w:w="685" w:type="dxa"/>
            <w:tcBorders>
              <w:left w:val="nil"/>
              <w:right w:val="nil"/>
            </w:tcBorders>
          </w:tcPr>
          <w:p w:rsidR="00925350" w:rsidRPr="006B690D" w:rsidRDefault="00925350" w:rsidP="006B690D">
            <w:pPr>
              <w:spacing w:before="60" w:after="60" w:line="240" w:lineRule="auto"/>
              <w:jc w:val="center"/>
              <w:rPr>
                <w:rFonts w:ascii="Arial" w:hAnsi="Arial" w:cs="Arial"/>
                <w:b/>
                <w:lang w:val="en-GB"/>
              </w:rPr>
            </w:pPr>
            <w:r w:rsidRPr="006B690D">
              <w:rPr>
                <w:rFonts w:ascii="Arial" w:hAnsi="Arial" w:cs="Arial"/>
                <w:b/>
                <w:lang w:val="en-GB"/>
              </w:rPr>
              <w:t>1</w:t>
            </w:r>
          </w:p>
        </w:tc>
        <w:tc>
          <w:tcPr>
            <w:tcW w:w="685" w:type="dxa"/>
            <w:tcBorders>
              <w:left w:val="nil"/>
              <w:right w:val="nil"/>
            </w:tcBorders>
          </w:tcPr>
          <w:p w:rsidR="00925350" w:rsidRPr="006B690D" w:rsidRDefault="00925350" w:rsidP="006B690D">
            <w:pPr>
              <w:spacing w:before="60" w:after="60" w:line="240" w:lineRule="auto"/>
              <w:jc w:val="center"/>
              <w:rPr>
                <w:rFonts w:ascii="Arial" w:hAnsi="Arial" w:cs="Arial"/>
                <w:b/>
                <w:lang w:val="en-GB"/>
              </w:rPr>
            </w:pPr>
            <w:r w:rsidRPr="006B690D">
              <w:rPr>
                <w:rFonts w:ascii="Arial" w:hAnsi="Arial" w:cs="Arial"/>
                <w:b/>
                <w:lang w:val="en-GB"/>
              </w:rPr>
              <w:t>2</w:t>
            </w:r>
          </w:p>
        </w:tc>
        <w:tc>
          <w:tcPr>
            <w:tcW w:w="685" w:type="dxa"/>
            <w:tcBorders>
              <w:left w:val="nil"/>
              <w:right w:val="nil"/>
            </w:tcBorders>
          </w:tcPr>
          <w:p w:rsidR="00925350" w:rsidRPr="006B690D" w:rsidRDefault="00925350" w:rsidP="006B690D">
            <w:pPr>
              <w:spacing w:before="60" w:after="60" w:line="240" w:lineRule="auto"/>
              <w:jc w:val="center"/>
              <w:rPr>
                <w:rFonts w:ascii="Arial" w:hAnsi="Arial" w:cs="Arial"/>
                <w:b/>
                <w:lang w:val="en-GB"/>
              </w:rPr>
            </w:pPr>
            <w:r w:rsidRPr="006B690D">
              <w:rPr>
                <w:rFonts w:ascii="Arial" w:hAnsi="Arial" w:cs="Arial"/>
                <w:b/>
                <w:lang w:val="en-GB"/>
              </w:rPr>
              <w:t>3</w:t>
            </w:r>
          </w:p>
        </w:tc>
        <w:tc>
          <w:tcPr>
            <w:tcW w:w="685" w:type="dxa"/>
            <w:tcBorders>
              <w:left w:val="nil"/>
              <w:right w:val="nil"/>
            </w:tcBorders>
          </w:tcPr>
          <w:p w:rsidR="00925350" w:rsidRPr="006B690D" w:rsidRDefault="00925350" w:rsidP="006B690D">
            <w:pPr>
              <w:spacing w:before="60" w:after="60" w:line="240" w:lineRule="auto"/>
              <w:jc w:val="center"/>
              <w:rPr>
                <w:rFonts w:ascii="Arial" w:hAnsi="Arial" w:cs="Arial"/>
                <w:b/>
                <w:lang w:val="en-GB"/>
              </w:rPr>
            </w:pPr>
            <w:r w:rsidRPr="006B690D">
              <w:rPr>
                <w:rFonts w:ascii="Arial" w:hAnsi="Arial" w:cs="Arial"/>
                <w:b/>
                <w:lang w:val="en-GB"/>
              </w:rPr>
              <w:t>4</w:t>
            </w:r>
          </w:p>
        </w:tc>
        <w:tc>
          <w:tcPr>
            <w:tcW w:w="685" w:type="dxa"/>
            <w:tcBorders>
              <w:left w:val="nil"/>
              <w:right w:val="nil"/>
            </w:tcBorders>
          </w:tcPr>
          <w:p w:rsidR="00925350" w:rsidRPr="006B690D" w:rsidRDefault="00925350" w:rsidP="006B690D">
            <w:pPr>
              <w:spacing w:before="60" w:after="60" w:line="240" w:lineRule="auto"/>
              <w:jc w:val="center"/>
              <w:rPr>
                <w:rFonts w:ascii="Arial" w:hAnsi="Arial" w:cs="Arial"/>
                <w:b/>
                <w:lang w:val="en-GB"/>
              </w:rPr>
            </w:pPr>
            <w:r w:rsidRPr="006B690D">
              <w:rPr>
                <w:rFonts w:ascii="Arial" w:hAnsi="Arial" w:cs="Arial"/>
                <w:b/>
                <w:lang w:val="en-GB"/>
              </w:rPr>
              <w:t>5</w:t>
            </w:r>
          </w:p>
        </w:tc>
        <w:tc>
          <w:tcPr>
            <w:tcW w:w="686" w:type="dxa"/>
            <w:tcBorders>
              <w:left w:val="nil"/>
              <w:right w:val="nil"/>
            </w:tcBorders>
          </w:tcPr>
          <w:p w:rsidR="00925350" w:rsidRPr="006B690D" w:rsidRDefault="00925350" w:rsidP="006B690D">
            <w:pPr>
              <w:spacing w:before="60" w:after="60" w:line="240" w:lineRule="auto"/>
              <w:jc w:val="center"/>
              <w:rPr>
                <w:rFonts w:ascii="Arial" w:hAnsi="Arial" w:cs="Arial"/>
                <w:b/>
                <w:lang w:val="en-GB"/>
              </w:rPr>
            </w:pPr>
            <w:r w:rsidRPr="006B690D">
              <w:rPr>
                <w:rFonts w:ascii="Arial" w:hAnsi="Arial" w:cs="Arial"/>
                <w:b/>
                <w:lang w:val="en-GB"/>
              </w:rPr>
              <w:t>6</w:t>
            </w:r>
          </w:p>
        </w:tc>
      </w:tr>
      <w:tr w:rsidR="00925350" w:rsidRPr="006B690D" w:rsidTr="006B690D">
        <w:tc>
          <w:tcPr>
            <w:tcW w:w="5137" w:type="dxa"/>
            <w:tcBorders>
              <w:left w:val="nil"/>
              <w:bottom w:val="nil"/>
              <w:right w:val="nil"/>
            </w:tcBorders>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 xml:space="preserve">Did a public hearing take place? </w:t>
            </w:r>
          </w:p>
        </w:tc>
        <w:tc>
          <w:tcPr>
            <w:tcW w:w="685" w:type="dxa"/>
            <w:tcBorders>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w:t>
            </w:r>
          </w:p>
        </w:tc>
        <w:tc>
          <w:tcPr>
            <w:tcW w:w="685" w:type="dxa"/>
            <w:tcBorders>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w:t>
            </w:r>
          </w:p>
        </w:tc>
        <w:tc>
          <w:tcPr>
            <w:tcW w:w="685" w:type="dxa"/>
            <w:tcBorders>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c>
          <w:tcPr>
            <w:tcW w:w="685" w:type="dxa"/>
            <w:tcBorders>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c>
          <w:tcPr>
            <w:tcW w:w="685" w:type="dxa"/>
            <w:tcBorders>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c>
          <w:tcPr>
            <w:tcW w:w="686" w:type="dxa"/>
            <w:tcBorders>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r>
      <w:tr w:rsidR="00925350" w:rsidRPr="006B690D" w:rsidTr="006B690D">
        <w:tc>
          <w:tcPr>
            <w:tcW w:w="5137"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Did the public hearing bring new information about the project?</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rPr>
              <w:t>n.a.</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rPr>
              <w:t>n.a.</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No</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c>
          <w:tcPr>
            <w:tcW w:w="686"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No</w:t>
            </w:r>
          </w:p>
        </w:tc>
      </w:tr>
      <w:tr w:rsidR="00925350" w:rsidRPr="006B690D" w:rsidTr="006B690D">
        <w:tc>
          <w:tcPr>
            <w:tcW w:w="5137"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 xml:space="preserve">Is there evidence of public opinion expressed at the hearing being considered in the EIS review? </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rPr>
              <w:t>n.a.</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rPr>
              <w:t>n.a.</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No</w:t>
            </w:r>
          </w:p>
        </w:tc>
        <w:tc>
          <w:tcPr>
            <w:tcW w:w="685"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c>
          <w:tcPr>
            <w:tcW w:w="686" w:type="dxa"/>
            <w:tcBorders>
              <w:top w:val="nil"/>
              <w:left w:val="nil"/>
              <w:bottom w:val="nil"/>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r>
      <w:tr w:rsidR="00925350" w:rsidRPr="006B690D" w:rsidTr="006B690D">
        <w:tc>
          <w:tcPr>
            <w:tcW w:w="5137" w:type="dxa"/>
            <w:tcBorders>
              <w:top w:val="nil"/>
              <w:left w:val="nil"/>
              <w:bottom w:val="single" w:sz="12" w:space="0" w:color="auto"/>
              <w:right w:val="nil"/>
            </w:tcBorders>
            <w:vAlign w:val="center"/>
          </w:tcPr>
          <w:p w:rsidR="00925350" w:rsidRPr="006B690D" w:rsidRDefault="00925350" w:rsidP="006B690D">
            <w:pPr>
              <w:pStyle w:val="ListParagraph"/>
              <w:spacing w:after="0" w:line="240" w:lineRule="auto"/>
              <w:ind w:left="0"/>
              <w:contextualSpacing w:val="0"/>
              <w:rPr>
                <w:rFonts w:ascii="Arial" w:hAnsi="Arial"/>
                <w:color w:val="000000"/>
                <w:lang w:val="en-US"/>
              </w:rPr>
            </w:pPr>
            <w:r w:rsidRPr="006B690D">
              <w:rPr>
                <w:rFonts w:ascii="Arial" w:hAnsi="Arial"/>
                <w:color w:val="000000"/>
                <w:lang w:val="en-US"/>
              </w:rPr>
              <w:t xml:space="preserve">Did it result in any project change, complements to the EIS or further commitment in Review Report? </w:t>
            </w:r>
          </w:p>
        </w:tc>
        <w:tc>
          <w:tcPr>
            <w:tcW w:w="685" w:type="dxa"/>
            <w:tcBorders>
              <w:top w:val="nil"/>
              <w:left w:val="nil"/>
              <w:bottom w:val="single" w:sz="12" w:space="0" w:color="auto"/>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rPr>
              <w:t>n.a.</w:t>
            </w:r>
          </w:p>
        </w:tc>
        <w:tc>
          <w:tcPr>
            <w:tcW w:w="685" w:type="dxa"/>
            <w:tcBorders>
              <w:top w:val="nil"/>
              <w:left w:val="nil"/>
              <w:bottom w:val="single" w:sz="12" w:space="0" w:color="auto"/>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rPr>
              <w:t>n.a.</w:t>
            </w:r>
          </w:p>
        </w:tc>
        <w:tc>
          <w:tcPr>
            <w:tcW w:w="685" w:type="dxa"/>
            <w:tcBorders>
              <w:top w:val="nil"/>
              <w:left w:val="nil"/>
              <w:bottom w:val="single" w:sz="12" w:space="0" w:color="auto"/>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No</w:t>
            </w:r>
          </w:p>
        </w:tc>
        <w:tc>
          <w:tcPr>
            <w:tcW w:w="685" w:type="dxa"/>
            <w:tcBorders>
              <w:top w:val="nil"/>
              <w:left w:val="nil"/>
              <w:bottom w:val="single" w:sz="12" w:space="0" w:color="auto"/>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No</w:t>
            </w:r>
          </w:p>
        </w:tc>
        <w:tc>
          <w:tcPr>
            <w:tcW w:w="685" w:type="dxa"/>
            <w:tcBorders>
              <w:top w:val="nil"/>
              <w:left w:val="nil"/>
              <w:bottom w:val="single" w:sz="12" w:space="0" w:color="auto"/>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c>
          <w:tcPr>
            <w:tcW w:w="686" w:type="dxa"/>
            <w:tcBorders>
              <w:top w:val="nil"/>
              <w:left w:val="nil"/>
              <w:bottom w:val="single" w:sz="12" w:space="0" w:color="auto"/>
              <w:right w:val="nil"/>
            </w:tcBorders>
            <w:vAlign w:val="center"/>
          </w:tcPr>
          <w:p w:rsidR="00925350" w:rsidRPr="006B690D" w:rsidRDefault="00925350" w:rsidP="006B690D">
            <w:pPr>
              <w:pStyle w:val="ListParagraph"/>
              <w:spacing w:after="0" w:line="240" w:lineRule="auto"/>
              <w:ind w:left="0"/>
              <w:contextualSpacing w:val="0"/>
              <w:jc w:val="center"/>
              <w:rPr>
                <w:rFonts w:ascii="Arial" w:hAnsi="Arial"/>
                <w:color w:val="000000"/>
                <w:lang w:val="en-US"/>
              </w:rPr>
            </w:pPr>
            <w:r w:rsidRPr="006B690D">
              <w:rPr>
                <w:rFonts w:ascii="Arial" w:hAnsi="Arial"/>
                <w:color w:val="000000"/>
                <w:lang w:val="en-US"/>
              </w:rPr>
              <w:t>Yes</w:t>
            </w:r>
          </w:p>
        </w:tc>
      </w:tr>
    </w:tbl>
    <w:p w:rsidR="00925350" w:rsidRDefault="00925350" w:rsidP="00FD09C4">
      <w:pPr>
        <w:pStyle w:val="ListParagraph"/>
        <w:spacing w:after="0" w:line="240" w:lineRule="auto"/>
        <w:ind w:left="0" w:firstLine="851"/>
        <w:contextualSpacing w:val="0"/>
        <w:jc w:val="both"/>
        <w:rPr>
          <w:rFonts w:ascii="Arial" w:hAnsi="Arial" w:cs="Arial"/>
          <w:color w:val="000000"/>
          <w:highlight w:val="yellow"/>
        </w:rPr>
      </w:pPr>
    </w:p>
    <w:p w:rsidR="00925350" w:rsidRPr="00294F42" w:rsidRDefault="00925350" w:rsidP="00994DBE">
      <w:pPr>
        <w:pStyle w:val="ListParagraph"/>
        <w:spacing w:after="120" w:line="240" w:lineRule="auto"/>
        <w:ind w:left="0"/>
        <w:contextualSpacing w:val="0"/>
        <w:jc w:val="both"/>
        <w:rPr>
          <w:rFonts w:ascii="Arial" w:hAnsi="Arial" w:cs="Arial"/>
          <w:color w:val="000000"/>
          <w:lang w:val="en-US"/>
        </w:rPr>
      </w:pPr>
      <w:r w:rsidRPr="00294F42">
        <w:rPr>
          <w:rFonts w:ascii="Arial" w:hAnsi="Arial" w:cs="Arial"/>
          <w:color w:val="000000"/>
          <w:lang w:val="en-US"/>
        </w:rPr>
        <w:t xml:space="preserve">Table 4: </w:t>
      </w:r>
      <w:r>
        <w:rPr>
          <w:rFonts w:ascii="Arial" w:hAnsi="Arial" w:cs="Arial"/>
          <w:color w:val="000000"/>
          <w:lang w:val="en-US"/>
        </w:rPr>
        <w:t xml:space="preserve">Summary EIS contents </w:t>
      </w:r>
    </w:p>
    <w:tbl>
      <w:tblPr>
        <w:tblW w:w="9356" w:type="dxa"/>
        <w:tblLayout w:type="fixed"/>
        <w:tblLook w:val="00A0"/>
      </w:tblPr>
      <w:tblGrid>
        <w:gridCol w:w="5102"/>
        <w:gridCol w:w="697"/>
        <w:gridCol w:w="697"/>
        <w:gridCol w:w="697"/>
        <w:gridCol w:w="697"/>
        <w:gridCol w:w="697"/>
        <w:gridCol w:w="698"/>
        <w:gridCol w:w="71"/>
      </w:tblGrid>
      <w:tr w:rsidR="00925350" w:rsidRPr="006B690D" w:rsidTr="006B690D">
        <w:tc>
          <w:tcPr>
            <w:tcW w:w="5102" w:type="dxa"/>
            <w:vMerge w:val="restart"/>
            <w:tcBorders>
              <w:top w:val="single" w:sz="12" w:space="0" w:color="auto"/>
            </w:tcBorders>
            <w:vAlign w:val="center"/>
          </w:tcPr>
          <w:p w:rsidR="00925350" w:rsidRPr="006B690D" w:rsidRDefault="00925350" w:rsidP="006B690D">
            <w:pPr>
              <w:tabs>
                <w:tab w:val="right" w:pos="2444"/>
              </w:tabs>
              <w:spacing w:after="0" w:line="240" w:lineRule="auto"/>
              <w:jc w:val="center"/>
              <w:rPr>
                <w:rFonts w:ascii="Arial" w:hAnsi="Arial" w:cs="Arial"/>
                <w:b/>
              </w:rPr>
            </w:pPr>
            <w:r w:rsidRPr="006B690D">
              <w:rPr>
                <w:rFonts w:ascii="Arial" w:hAnsi="Arial" w:cs="Arial"/>
                <w:b/>
              </w:rPr>
              <w:t>Question</w:t>
            </w:r>
          </w:p>
        </w:tc>
        <w:tc>
          <w:tcPr>
            <w:tcW w:w="4254" w:type="dxa"/>
            <w:gridSpan w:val="7"/>
            <w:tcBorders>
              <w:top w:val="single" w:sz="12" w:space="0" w:color="auto"/>
              <w:bottom w:val="single" w:sz="4" w:space="0" w:color="auto"/>
            </w:tcBorders>
          </w:tcPr>
          <w:p w:rsidR="00925350" w:rsidRPr="006B690D" w:rsidRDefault="00925350" w:rsidP="006B690D">
            <w:pPr>
              <w:spacing w:after="0" w:line="240" w:lineRule="auto"/>
              <w:jc w:val="center"/>
              <w:rPr>
                <w:rFonts w:ascii="Arial" w:hAnsi="Arial" w:cs="Arial"/>
                <w:b/>
              </w:rPr>
            </w:pPr>
            <w:r w:rsidRPr="006B690D">
              <w:rPr>
                <w:rFonts w:ascii="Arial" w:hAnsi="Arial" w:cs="Arial"/>
                <w:b/>
              </w:rPr>
              <w:t>Case</w:t>
            </w:r>
          </w:p>
        </w:tc>
      </w:tr>
      <w:tr w:rsidR="00925350" w:rsidRPr="006B690D" w:rsidTr="006B690D">
        <w:trPr>
          <w:gridAfter w:val="1"/>
          <w:wAfter w:w="71" w:type="dxa"/>
        </w:trPr>
        <w:tc>
          <w:tcPr>
            <w:tcW w:w="5102" w:type="dxa"/>
            <w:vMerge/>
            <w:tcBorders>
              <w:bottom w:val="single" w:sz="4" w:space="0" w:color="auto"/>
            </w:tcBorders>
          </w:tcPr>
          <w:p w:rsidR="00925350" w:rsidRPr="006B690D" w:rsidRDefault="00925350" w:rsidP="006B690D">
            <w:pPr>
              <w:spacing w:after="0" w:line="240" w:lineRule="auto"/>
              <w:jc w:val="center"/>
              <w:rPr>
                <w:rFonts w:ascii="Arial" w:hAnsi="Arial" w:cs="Arial"/>
                <w:b/>
              </w:rPr>
            </w:pPr>
          </w:p>
        </w:tc>
        <w:tc>
          <w:tcPr>
            <w:tcW w:w="697"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1</w:t>
            </w:r>
          </w:p>
        </w:tc>
        <w:tc>
          <w:tcPr>
            <w:tcW w:w="697"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2</w:t>
            </w:r>
          </w:p>
        </w:tc>
        <w:tc>
          <w:tcPr>
            <w:tcW w:w="697"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3</w:t>
            </w:r>
          </w:p>
        </w:tc>
        <w:tc>
          <w:tcPr>
            <w:tcW w:w="697"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4</w:t>
            </w:r>
          </w:p>
        </w:tc>
        <w:tc>
          <w:tcPr>
            <w:tcW w:w="697"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5</w:t>
            </w:r>
          </w:p>
        </w:tc>
        <w:tc>
          <w:tcPr>
            <w:tcW w:w="698"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6</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GB"/>
              </w:rPr>
            </w:pPr>
            <w:r w:rsidRPr="006B690D">
              <w:rPr>
                <w:rFonts w:ascii="Arial" w:hAnsi="Arial" w:cs="Arial"/>
                <w:lang w:val="en-GB"/>
              </w:rPr>
              <w:t>Number of experts in the team</w:t>
            </w:r>
          </w:p>
        </w:tc>
        <w:tc>
          <w:tcPr>
            <w:tcW w:w="697" w:type="dxa"/>
            <w:tcBorders>
              <w:top w:val="single" w:sz="4" w:space="0" w:color="auto"/>
              <w:left w:val="nil"/>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19</w:t>
            </w:r>
          </w:p>
        </w:tc>
        <w:tc>
          <w:tcPr>
            <w:tcW w:w="697" w:type="dxa"/>
            <w:tcBorders>
              <w:top w:val="single" w:sz="4"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12</w:t>
            </w:r>
          </w:p>
        </w:tc>
        <w:tc>
          <w:tcPr>
            <w:tcW w:w="697" w:type="dxa"/>
            <w:tcBorders>
              <w:top w:val="single" w:sz="4"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23</w:t>
            </w:r>
          </w:p>
        </w:tc>
        <w:tc>
          <w:tcPr>
            <w:tcW w:w="697" w:type="dxa"/>
            <w:tcBorders>
              <w:top w:val="single" w:sz="4"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47</w:t>
            </w:r>
          </w:p>
        </w:tc>
        <w:tc>
          <w:tcPr>
            <w:tcW w:w="697" w:type="dxa"/>
            <w:tcBorders>
              <w:top w:val="single" w:sz="4"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61</w:t>
            </w:r>
          </w:p>
        </w:tc>
        <w:tc>
          <w:tcPr>
            <w:tcW w:w="698" w:type="dxa"/>
            <w:tcBorders>
              <w:top w:val="single" w:sz="4"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23</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GB"/>
              </w:rPr>
            </w:pPr>
            <w:r w:rsidRPr="006B690D">
              <w:rPr>
                <w:rFonts w:ascii="Arial" w:hAnsi="Arial" w:cs="Arial"/>
                <w:lang w:val="en-GB"/>
              </w:rPr>
              <w:t>Number of pages of the EIS</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189</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47</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411</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815</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729</w:t>
            </w:r>
          </w:p>
        </w:tc>
        <w:tc>
          <w:tcPr>
            <w:tcW w:w="698"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505</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 xml:space="preserve">Are there comparisons of locational and technological alternatives? </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8"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Are the project and its operational activities described?</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8"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Are the criteria used to determine the areas likely to be affected according to what is asked in the ToR?</w:t>
            </w:r>
          </w:p>
        </w:tc>
        <w:tc>
          <w:tcPr>
            <w:tcW w:w="2091" w:type="dxa"/>
            <w:gridSpan w:val="3"/>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2092" w:type="dxa"/>
            <w:gridSpan w:val="3"/>
            <w:vAlign w:val="center"/>
          </w:tcPr>
          <w:p w:rsidR="00925350" w:rsidRPr="006B690D" w:rsidRDefault="00925350" w:rsidP="006B690D">
            <w:pPr>
              <w:spacing w:after="0" w:line="240" w:lineRule="auto"/>
              <w:jc w:val="center"/>
              <w:rPr>
                <w:rFonts w:ascii="Arial" w:hAnsi="Arial" w:cs="Arial"/>
                <w:sz w:val="18"/>
                <w:szCs w:val="18"/>
                <w:lang w:val="en-US"/>
              </w:rPr>
            </w:pPr>
            <w:r w:rsidRPr="006B690D">
              <w:rPr>
                <w:rFonts w:ascii="Arial" w:hAnsi="Arial" w:cs="Arial"/>
                <w:lang w:val="en-US"/>
              </w:rPr>
              <w:t>ToR does not determine them</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Are the issues of physical environment according to the ToR?</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Are there primary data for physical environment baseline?</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8"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 xml:space="preserve">Are there primary data for fauna baseline? </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8"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 xml:space="preserve">Are there primary data for vegetation baseline? </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8"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 xml:space="preserve">Is there an integrated landscape analysis? </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97"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98" w:type="dxa"/>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 xml:space="preserve">Does the EIS identify and locate the protected areas inside the areas likely to be affected? </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tabs>
                <w:tab w:val="left" w:pos="1320"/>
              </w:tabs>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tabs>
                <w:tab w:val="left" w:pos="1320"/>
              </w:tabs>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tabs>
                <w:tab w:val="left" w:pos="1320"/>
              </w:tabs>
              <w:spacing w:after="0" w:line="240" w:lineRule="auto"/>
              <w:jc w:val="center"/>
              <w:rPr>
                <w:rFonts w:ascii="Arial" w:hAnsi="Arial" w:cs="Arial"/>
                <w:lang w:val="en-US"/>
              </w:rPr>
            </w:pPr>
            <w:r w:rsidRPr="006B690D">
              <w:rPr>
                <w:rFonts w:ascii="Arial" w:hAnsi="Arial" w:cs="Arial"/>
                <w:lang w:val="en-US"/>
              </w:rPr>
              <w:t>Yes</w:t>
            </w:r>
          </w:p>
        </w:tc>
        <w:tc>
          <w:tcPr>
            <w:tcW w:w="698" w:type="dxa"/>
            <w:vAlign w:val="center"/>
          </w:tcPr>
          <w:p w:rsidR="00925350" w:rsidRPr="006B690D" w:rsidRDefault="00925350" w:rsidP="006B690D">
            <w:pPr>
              <w:tabs>
                <w:tab w:val="left" w:pos="1320"/>
              </w:tabs>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Were surveys undertaken with affected communities?</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Does baseline describe vulnerable people?</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Are there archaeological data?</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 xml:space="preserve">Are specific methods used to impact prediction? </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Are baseline data used in impact prediction?</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Does the EIS consider cumulative and synergic impacts?</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Does the EIS assess impact significance?</w:t>
            </w:r>
          </w:p>
        </w:tc>
        <w:tc>
          <w:tcPr>
            <w:tcW w:w="697" w:type="dxa"/>
            <w:tcBorders>
              <w:left w:val="nil"/>
            </w:tcBorders>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8" w:type="dxa"/>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Are the most significant impacts scheduled to be monitored?</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rPr>
          <w:gridAfter w:val="1"/>
          <w:wAfter w:w="71" w:type="dxa"/>
        </w:trPr>
        <w:tc>
          <w:tcPr>
            <w:tcW w:w="5102"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Do environmental management programmes include goals and indicators to evaluate achievement of goals?</w:t>
            </w:r>
          </w:p>
        </w:tc>
        <w:tc>
          <w:tcPr>
            <w:tcW w:w="697" w:type="dxa"/>
            <w:tcBorders>
              <w:left w:val="nil"/>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rPr>
          <w:gridAfter w:val="1"/>
          <w:wAfter w:w="71" w:type="dxa"/>
        </w:trPr>
        <w:tc>
          <w:tcPr>
            <w:tcW w:w="5102" w:type="dxa"/>
            <w:tcBorders>
              <w:top w:val="single" w:sz="4" w:space="0" w:color="auto"/>
              <w:bottom w:val="single" w:sz="12"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Do the proposed monitoring include parameters, procedures, schedules, etc.?</w:t>
            </w:r>
          </w:p>
        </w:tc>
        <w:tc>
          <w:tcPr>
            <w:tcW w:w="697" w:type="dxa"/>
            <w:tcBorders>
              <w:left w:val="nil"/>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7"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97"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98"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bl>
    <w:p w:rsidR="00925350" w:rsidRPr="002529FE" w:rsidRDefault="00925350" w:rsidP="002529FE">
      <w:pPr>
        <w:pStyle w:val="ListParagraph"/>
        <w:spacing w:after="0" w:line="240" w:lineRule="auto"/>
        <w:ind w:left="0" w:firstLine="851"/>
        <w:contextualSpacing w:val="0"/>
        <w:jc w:val="both"/>
        <w:rPr>
          <w:rFonts w:ascii="Arial" w:hAnsi="Arial" w:cs="Arial"/>
          <w:color w:val="000000"/>
          <w:sz w:val="24"/>
          <w:szCs w:val="24"/>
          <w:highlight w:val="yellow"/>
          <w:lang w:val="en-US"/>
        </w:rPr>
      </w:pPr>
    </w:p>
    <w:p w:rsidR="00925350" w:rsidRPr="004A7465" w:rsidRDefault="00925350" w:rsidP="00994DBE">
      <w:pPr>
        <w:pStyle w:val="ListParagraph"/>
        <w:spacing w:after="120" w:line="240" w:lineRule="auto"/>
        <w:ind w:left="0"/>
        <w:contextualSpacing w:val="0"/>
        <w:jc w:val="both"/>
        <w:rPr>
          <w:rFonts w:ascii="Arial" w:hAnsi="Arial" w:cs="Arial"/>
          <w:color w:val="000000"/>
          <w:u w:val="single"/>
          <w:lang w:val="en-US"/>
        </w:rPr>
      </w:pPr>
      <w:r w:rsidRPr="004A7465">
        <w:rPr>
          <w:rFonts w:ascii="Arial" w:hAnsi="Arial" w:cs="Arial"/>
          <w:color w:val="000000"/>
          <w:lang w:val="en-US"/>
        </w:rPr>
        <w:t>Table 5: Comparison of EIS Supplement main results</w:t>
      </w:r>
    </w:p>
    <w:tbl>
      <w:tblPr>
        <w:tblW w:w="9236" w:type="dxa"/>
        <w:tblLayout w:type="fixed"/>
        <w:tblLook w:val="00A0"/>
      </w:tblPr>
      <w:tblGrid>
        <w:gridCol w:w="5103"/>
        <w:gridCol w:w="688"/>
        <w:gridCol w:w="689"/>
        <w:gridCol w:w="689"/>
        <w:gridCol w:w="689"/>
        <w:gridCol w:w="689"/>
        <w:gridCol w:w="689"/>
      </w:tblGrid>
      <w:tr w:rsidR="00925350" w:rsidRPr="006B690D" w:rsidTr="006B690D">
        <w:tc>
          <w:tcPr>
            <w:tcW w:w="5103" w:type="dxa"/>
            <w:vMerge w:val="restart"/>
            <w:tcBorders>
              <w:top w:val="single" w:sz="12" w:space="0" w:color="auto"/>
            </w:tcBorders>
            <w:vAlign w:val="center"/>
          </w:tcPr>
          <w:p w:rsidR="00925350" w:rsidRPr="006B690D" w:rsidRDefault="00925350" w:rsidP="006B690D">
            <w:pPr>
              <w:spacing w:after="0" w:line="240" w:lineRule="auto"/>
              <w:jc w:val="center"/>
              <w:rPr>
                <w:rFonts w:ascii="Arial" w:hAnsi="Arial" w:cs="Arial"/>
                <w:b/>
              </w:rPr>
            </w:pPr>
            <w:r w:rsidRPr="006B690D">
              <w:rPr>
                <w:rFonts w:ascii="Arial" w:hAnsi="Arial" w:cs="Arial"/>
                <w:b/>
              </w:rPr>
              <w:t>Question</w:t>
            </w:r>
          </w:p>
        </w:tc>
        <w:tc>
          <w:tcPr>
            <w:tcW w:w="4133" w:type="dxa"/>
            <w:gridSpan w:val="6"/>
            <w:tcBorders>
              <w:top w:val="single" w:sz="12" w:space="0" w:color="auto"/>
              <w:bottom w:val="single" w:sz="4" w:space="0" w:color="auto"/>
            </w:tcBorders>
          </w:tcPr>
          <w:p w:rsidR="00925350" w:rsidRPr="006B690D" w:rsidRDefault="00925350" w:rsidP="006B690D">
            <w:pPr>
              <w:spacing w:after="0" w:line="240" w:lineRule="auto"/>
              <w:jc w:val="center"/>
              <w:rPr>
                <w:rFonts w:ascii="Arial" w:hAnsi="Arial" w:cs="Arial"/>
                <w:b/>
              </w:rPr>
            </w:pPr>
            <w:r w:rsidRPr="006B690D">
              <w:rPr>
                <w:rFonts w:ascii="Arial" w:hAnsi="Arial" w:cs="Arial"/>
                <w:b/>
              </w:rPr>
              <w:t>Case</w:t>
            </w:r>
          </w:p>
        </w:tc>
      </w:tr>
      <w:tr w:rsidR="00925350" w:rsidRPr="006B690D" w:rsidTr="006B690D">
        <w:tc>
          <w:tcPr>
            <w:tcW w:w="5103" w:type="dxa"/>
            <w:vMerge/>
            <w:tcBorders>
              <w:bottom w:val="single" w:sz="4" w:space="0" w:color="auto"/>
            </w:tcBorders>
          </w:tcPr>
          <w:p w:rsidR="00925350" w:rsidRPr="006B690D" w:rsidRDefault="00925350" w:rsidP="006B690D">
            <w:pPr>
              <w:spacing w:after="0" w:line="240" w:lineRule="auto"/>
              <w:jc w:val="center"/>
              <w:rPr>
                <w:rFonts w:ascii="Arial" w:hAnsi="Arial" w:cs="Arial"/>
                <w:b/>
              </w:rPr>
            </w:pPr>
          </w:p>
        </w:tc>
        <w:tc>
          <w:tcPr>
            <w:tcW w:w="688"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b/>
              </w:rPr>
            </w:pPr>
            <w:r w:rsidRPr="006B690D">
              <w:rPr>
                <w:rFonts w:ascii="Arial" w:hAnsi="Arial" w:cs="Arial"/>
                <w:b/>
              </w:rPr>
              <w:t>1</w:t>
            </w:r>
          </w:p>
        </w:tc>
        <w:tc>
          <w:tcPr>
            <w:tcW w:w="689"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b/>
              </w:rPr>
            </w:pPr>
            <w:r w:rsidRPr="006B690D">
              <w:rPr>
                <w:rFonts w:ascii="Arial" w:hAnsi="Arial" w:cs="Arial"/>
                <w:b/>
              </w:rPr>
              <w:t>2</w:t>
            </w:r>
          </w:p>
        </w:tc>
        <w:tc>
          <w:tcPr>
            <w:tcW w:w="689"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b/>
              </w:rPr>
            </w:pPr>
            <w:r w:rsidRPr="006B690D">
              <w:rPr>
                <w:rFonts w:ascii="Arial" w:hAnsi="Arial" w:cs="Arial"/>
                <w:b/>
              </w:rPr>
              <w:t>3</w:t>
            </w:r>
          </w:p>
        </w:tc>
        <w:tc>
          <w:tcPr>
            <w:tcW w:w="689"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b/>
              </w:rPr>
            </w:pPr>
            <w:r w:rsidRPr="006B690D">
              <w:rPr>
                <w:rFonts w:ascii="Arial" w:hAnsi="Arial" w:cs="Arial"/>
                <w:b/>
              </w:rPr>
              <w:t>4</w:t>
            </w:r>
          </w:p>
        </w:tc>
        <w:tc>
          <w:tcPr>
            <w:tcW w:w="689"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b/>
              </w:rPr>
            </w:pPr>
            <w:r w:rsidRPr="006B690D">
              <w:rPr>
                <w:rFonts w:ascii="Arial" w:hAnsi="Arial" w:cs="Arial"/>
                <w:b/>
              </w:rPr>
              <w:t>5</w:t>
            </w:r>
          </w:p>
        </w:tc>
        <w:tc>
          <w:tcPr>
            <w:tcW w:w="689"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b/>
              </w:rPr>
            </w:pPr>
            <w:r w:rsidRPr="006B690D">
              <w:rPr>
                <w:rFonts w:ascii="Arial" w:hAnsi="Arial" w:cs="Arial"/>
                <w:b/>
              </w:rPr>
              <w:t>6</w:t>
            </w:r>
          </w:p>
        </w:tc>
      </w:tr>
      <w:tr w:rsidR="00925350" w:rsidRPr="006B690D" w:rsidTr="006B690D">
        <w:tc>
          <w:tcPr>
            <w:tcW w:w="5103"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 xml:space="preserve">Did the Agency require the EIS to be supplemented? </w:t>
            </w:r>
          </w:p>
        </w:tc>
        <w:tc>
          <w:tcPr>
            <w:tcW w:w="688"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89"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89"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89"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89"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89"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c>
          <w:tcPr>
            <w:tcW w:w="5103" w:type="dxa"/>
            <w:tcBorders>
              <w:top w:val="single" w:sz="4" w:space="0" w:color="auto"/>
              <w:bottom w:val="single" w:sz="4"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Did the Agency require supplemental data, in addition to what was requested in the ToR ?</w:t>
            </w:r>
          </w:p>
        </w:tc>
        <w:tc>
          <w:tcPr>
            <w:tcW w:w="688"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89"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89"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89"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89"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89"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c>
          <w:tcPr>
            <w:tcW w:w="5103" w:type="dxa"/>
            <w:tcBorders>
              <w:top w:val="single" w:sz="4" w:space="0" w:color="auto"/>
              <w:bottom w:val="single" w:sz="12" w:space="0" w:color="auto"/>
            </w:tcBorders>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Was the EIS Supplement considered as satisfactory by the Agency?</w:t>
            </w:r>
          </w:p>
        </w:tc>
        <w:tc>
          <w:tcPr>
            <w:tcW w:w="688"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n.a.</w:t>
            </w:r>
          </w:p>
        </w:tc>
        <w:tc>
          <w:tcPr>
            <w:tcW w:w="689"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Yes</w:t>
            </w:r>
          </w:p>
        </w:tc>
        <w:tc>
          <w:tcPr>
            <w:tcW w:w="689"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89"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89"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c>
          <w:tcPr>
            <w:tcW w:w="689"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rPr>
            </w:pPr>
            <w:r w:rsidRPr="006B690D">
              <w:rPr>
                <w:rFonts w:ascii="Arial" w:hAnsi="Arial" w:cs="Arial"/>
              </w:rPr>
              <w:t>No</w:t>
            </w:r>
          </w:p>
        </w:tc>
      </w:tr>
    </w:tbl>
    <w:p w:rsidR="00925350" w:rsidRDefault="00925350" w:rsidP="00FD09C4">
      <w:pPr>
        <w:pStyle w:val="ListParagraph"/>
        <w:spacing w:after="0" w:line="240" w:lineRule="auto"/>
        <w:ind w:left="0" w:firstLine="851"/>
        <w:contextualSpacing w:val="0"/>
        <w:jc w:val="both"/>
        <w:rPr>
          <w:rFonts w:ascii="Arial" w:hAnsi="Arial" w:cs="Arial"/>
          <w:color w:val="000000"/>
          <w:highlight w:val="yellow"/>
          <w:u w:val="single"/>
        </w:rPr>
      </w:pPr>
    </w:p>
    <w:p w:rsidR="00925350" w:rsidRPr="004A7465" w:rsidRDefault="00925350" w:rsidP="00994DBE">
      <w:pPr>
        <w:pStyle w:val="ListParagraph"/>
        <w:spacing w:after="120" w:line="240" w:lineRule="auto"/>
        <w:ind w:left="0"/>
        <w:contextualSpacing w:val="0"/>
        <w:jc w:val="both"/>
        <w:rPr>
          <w:rFonts w:ascii="Arial" w:hAnsi="Arial" w:cs="Arial"/>
          <w:color w:val="000000"/>
          <w:u w:val="single"/>
          <w:lang w:val="en-US"/>
        </w:rPr>
      </w:pPr>
      <w:r w:rsidRPr="004A7465">
        <w:rPr>
          <w:rFonts w:ascii="Arial" w:hAnsi="Arial" w:cs="Arial"/>
          <w:color w:val="000000"/>
          <w:lang w:val="en-US"/>
        </w:rPr>
        <w:t xml:space="preserve">Table 6: Comparison of EIS Review </w:t>
      </w:r>
      <w:r>
        <w:rPr>
          <w:rFonts w:ascii="Arial" w:hAnsi="Arial" w:cs="Arial"/>
          <w:color w:val="000000"/>
          <w:lang w:val="en-US"/>
        </w:rPr>
        <w:t xml:space="preserve">Report </w:t>
      </w:r>
      <w:r w:rsidRPr="004A7465">
        <w:rPr>
          <w:rFonts w:ascii="Arial" w:hAnsi="Arial" w:cs="Arial"/>
          <w:color w:val="000000"/>
          <w:lang w:val="en-US"/>
        </w:rPr>
        <w:t>main results</w:t>
      </w:r>
    </w:p>
    <w:tbl>
      <w:tblPr>
        <w:tblW w:w="9003" w:type="dxa"/>
        <w:tblLayout w:type="fixed"/>
        <w:tblLook w:val="00A0"/>
      </w:tblPr>
      <w:tblGrid>
        <w:gridCol w:w="5103"/>
        <w:gridCol w:w="650"/>
        <w:gridCol w:w="650"/>
        <w:gridCol w:w="650"/>
        <w:gridCol w:w="650"/>
        <w:gridCol w:w="650"/>
        <w:gridCol w:w="650"/>
      </w:tblGrid>
      <w:tr w:rsidR="00925350" w:rsidRPr="006B690D" w:rsidTr="006B690D">
        <w:tc>
          <w:tcPr>
            <w:tcW w:w="5103" w:type="dxa"/>
            <w:vMerge w:val="restart"/>
            <w:tcBorders>
              <w:top w:val="single" w:sz="12" w:space="0" w:color="auto"/>
            </w:tcBorders>
            <w:vAlign w:val="center"/>
          </w:tcPr>
          <w:p w:rsidR="00925350" w:rsidRPr="006B690D" w:rsidRDefault="00925350" w:rsidP="006B690D">
            <w:pPr>
              <w:spacing w:after="0" w:line="240" w:lineRule="auto"/>
              <w:jc w:val="center"/>
              <w:rPr>
                <w:rFonts w:ascii="Arial" w:hAnsi="Arial" w:cs="Arial"/>
                <w:b/>
              </w:rPr>
            </w:pPr>
            <w:r w:rsidRPr="006B690D">
              <w:rPr>
                <w:rFonts w:ascii="Arial" w:hAnsi="Arial" w:cs="Arial"/>
                <w:b/>
              </w:rPr>
              <w:t>Question</w:t>
            </w:r>
          </w:p>
        </w:tc>
        <w:tc>
          <w:tcPr>
            <w:tcW w:w="3900" w:type="dxa"/>
            <w:gridSpan w:val="6"/>
            <w:tcBorders>
              <w:top w:val="single" w:sz="12" w:space="0" w:color="auto"/>
              <w:bottom w:val="single" w:sz="4" w:space="0" w:color="auto"/>
            </w:tcBorders>
          </w:tcPr>
          <w:p w:rsidR="00925350" w:rsidRPr="006B690D" w:rsidRDefault="00925350" w:rsidP="006B690D">
            <w:pPr>
              <w:spacing w:after="0" w:line="240" w:lineRule="auto"/>
              <w:jc w:val="center"/>
              <w:rPr>
                <w:rFonts w:ascii="Arial" w:hAnsi="Arial" w:cs="Arial"/>
                <w:b/>
              </w:rPr>
            </w:pPr>
            <w:r w:rsidRPr="006B690D">
              <w:rPr>
                <w:rFonts w:ascii="Arial" w:hAnsi="Arial" w:cs="Arial"/>
                <w:b/>
              </w:rPr>
              <w:t>Case</w:t>
            </w:r>
          </w:p>
        </w:tc>
      </w:tr>
      <w:tr w:rsidR="00925350" w:rsidRPr="006B690D" w:rsidTr="006B690D">
        <w:trPr>
          <w:trHeight w:val="106"/>
        </w:trPr>
        <w:tc>
          <w:tcPr>
            <w:tcW w:w="5103" w:type="dxa"/>
            <w:vMerge/>
            <w:tcBorders>
              <w:bottom w:val="single" w:sz="4" w:space="0" w:color="auto"/>
            </w:tcBorders>
          </w:tcPr>
          <w:p w:rsidR="00925350" w:rsidRPr="006B690D" w:rsidRDefault="00925350" w:rsidP="006B690D">
            <w:pPr>
              <w:pStyle w:val="ListParagraph"/>
              <w:spacing w:after="0" w:line="240" w:lineRule="auto"/>
              <w:ind w:left="0"/>
              <w:jc w:val="center"/>
              <w:rPr>
                <w:rFonts w:ascii="Arial" w:hAnsi="Arial" w:cs="Arial"/>
                <w:b/>
                <w:highlight w:val="yellow"/>
              </w:rPr>
            </w:pPr>
          </w:p>
        </w:tc>
        <w:tc>
          <w:tcPr>
            <w:tcW w:w="650"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1</w:t>
            </w:r>
          </w:p>
        </w:tc>
        <w:tc>
          <w:tcPr>
            <w:tcW w:w="650"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2</w:t>
            </w:r>
          </w:p>
        </w:tc>
        <w:tc>
          <w:tcPr>
            <w:tcW w:w="650"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3</w:t>
            </w:r>
          </w:p>
        </w:tc>
        <w:tc>
          <w:tcPr>
            <w:tcW w:w="650"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4</w:t>
            </w:r>
          </w:p>
        </w:tc>
        <w:tc>
          <w:tcPr>
            <w:tcW w:w="650"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5</w:t>
            </w:r>
          </w:p>
        </w:tc>
        <w:tc>
          <w:tcPr>
            <w:tcW w:w="650" w:type="dxa"/>
            <w:tcBorders>
              <w:top w:val="single" w:sz="4" w:space="0" w:color="auto"/>
              <w:bottom w:val="single" w:sz="4" w:space="0" w:color="auto"/>
            </w:tcBorders>
          </w:tcPr>
          <w:p w:rsidR="00925350" w:rsidRPr="006B690D" w:rsidRDefault="00925350" w:rsidP="006B690D">
            <w:pPr>
              <w:spacing w:before="60" w:after="60" w:line="240" w:lineRule="auto"/>
              <w:jc w:val="center"/>
              <w:rPr>
                <w:rFonts w:ascii="Arial" w:hAnsi="Arial" w:cs="Arial"/>
                <w:b/>
              </w:rPr>
            </w:pPr>
            <w:r w:rsidRPr="006B690D">
              <w:rPr>
                <w:rFonts w:ascii="Arial" w:hAnsi="Arial" w:cs="Arial"/>
                <w:b/>
              </w:rPr>
              <w:t>6</w:t>
            </w:r>
          </w:p>
        </w:tc>
      </w:tr>
      <w:tr w:rsidR="00925350" w:rsidRPr="006B690D" w:rsidTr="006B690D">
        <w:tc>
          <w:tcPr>
            <w:tcW w:w="5103"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How many pages does it have?</w:t>
            </w:r>
          </w:p>
        </w:tc>
        <w:tc>
          <w:tcPr>
            <w:tcW w:w="650"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15</w:t>
            </w:r>
          </w:p>
        </w:tc>
        <w:tc>
          <w:tcPr>
            <w:tcW w:w="650"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12</w:t>
            </w:r>
          </w:p>
        </w:tc>
        <w:tc>
          <w:tcPr>
            <w:tcW w:w="650"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37</w:t>
            </w:r>
          </w:p>
        </w:tc>
        <w:tc>
          <w:tcPr>
            <w:tcW w:w="650"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71</w:t>
            </w:r>
          </w:p>
        </w:tc>
        <w:tc>
          <w:tcPr>
            <w:tcW w:w="650"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44</w:t>
            </w:r>
          </w:p>
        </w:tc>
        <w:tc>
          <w:tcPr>
            <w:tcW w:w="650" w:type="dxa"/>
            <w:tcBorders>
              <w:top w:val="single" w:sz="4"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35</w:t>
            </w:r>
          </w:p>
        </w:tc>
      </w:tr>
      <w:tr w:rsidR="00925350" w:rsidRPr="006B690D" w:rsidTr="006B690D">
        <w:tc>
          <w:tcPr>
            <w:tcW w:w="5103"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Does it request any commitment from the proponent due to the public hearing?</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c>
          <w:tcPr>
            <w:tcW w:w="5103"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Are there technical requirements about alternatives?</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c>
          <w:tcPr>
            <w:tcW w:w="5103"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Was any impact considered as significant in the EIS not reviewed?</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n.a.</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r>
      <w:tr w:rsidR="00925350" w:rsidRPr="006B690D" w:rsidTr="006B690D">
        <w:tc>
          <w:tcPr>
            <w:tcW w:w="5103"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 xml:space="preserve">Does the Review Report recommend any additional mitigation as compared to those proposed in the EIS and its supplement? </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c>
          <w:tcPr>
            <w:tcW w:w="5103" w:type="dxa"/>
            <w:tcBorders>
              <w:top w:val="single" w:sz="4" w:space="0" w:color="auto"/>
              <w:bottom w:val="single" w:sz="4" w:space="0" w:color="auto"/>
            </w:tcBorders>
            <w:vAlign w:val="center"/>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Does the Review Report recommend any additional environmental management programme?</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50" w:type="dxa"/>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r w:rsidR="00925350" w:rsidRPr="006B690D" w:rsidTr="006B690D">
        <w:tc>
          <w:tcPr>
            <w:tcW w:w="5103" w:type="dxa"/>
            <w:tcBorders>
              <w:top w:val="single" w:sz="4" w:space="0" w:color="auto"/>
              <w:bottom w:val="single" w:sz="12" w:space="0" w:color="auto"/>
            </w:tcBorders>
            <w:vAlign w:val="center"/>
          </w:tcPr>
          <w:p w:rsidR="00925350" w:rsidRPr="006B690D" w:rsidRDefault="00925350" w:rsidP="006B690D">
            <w:pPr>
              <w:spacing w:after="0" w:line="240" w:lineRule="auto"/>
              <w:rPr>
                <w:rFonts w:ascii="Arial" w:hAnsi="Arial" w:cs="Arial"/>
                <w:lang w:val="en-US"/>
              </w:rPr>
            </w:pPr>
            <w:r w:rsidRPr="006B690D">
              <w:rPr>
                <w:rFonts w:ascii="Arial" w:hAnsi="Arial" w:cs="Arial"/>
                <w:lang w:val="en-US"/>
              </w:rPr>
              <w:t>Does the Review Report establish conditions for project follow-up?</w:t>
            </w:r>
          </w:p>
        </w:tc>
        <w:tc>
          <w:tcPr>
            <w:tcW w:w="650"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 xml:space="preserve">Yes </w:t>
            </w:r>
          </w:p>
        </w:tc>
        <w:tc>
          <w:tcPr>
            <w:tcW w:w="650"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No</w:t>
            </w:r>
          </w:p>
        </w:tc>
        <w:tc>
          <w:tcPr>
            <w:tcW w:w="650"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 xml:space="preserve">Yes </w:t>
            </w:r>
          </w:p>
        </w:tc>
        <w:tc>
          <w:tcPr>
            <w:tcW w:w="650"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 xml:space="preserve">Yes </w:t>
            </w:r>
          </w:p>
        </w:tc>
        <w:tc>
          <w:tcPr>
            <w:tcW w:w="650"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c>
          <w:tcPr>
            <w:tcW w:w="650" w:type="dxa"/>
            <w:tcBorders>
              <w:bottom w:val="single" w:sz="12" w:space="0" w:color="auto"/>
            </w:tcBorders>
            <w:vAlign w:val="center"/>
          </w:tcPr>
          <w:p w:rsidR="00925350" w:rsidRPr="006B690D" w:rsidRDefault="00925350" w:rsidP="006B690D">
            <w:pPr>
              <w:spacing w:after="0" w:line="240" w:lineRule="auto"/>
              <w:jc w:val="center"/>
              <w:rPr>
                <w:rFonts w:ascii="Arial" w:hAnsi="Arial" w:cs="Arial"/>
                <w:lang w:val="en-US"/>
              </w:rPr>
            </w:pPr>
            <w:r w:rsidRPr="006B690D">
              <w:rPr>
                <w:rFonts w:ascii="Arial" w:hAnsi="Arial" w:cs="Arial"/>
                <w:lang w:val="en-US"/>
              </w:rPr>
              <w:t>Yes</w:t>
            </w:r>
          </w:p>
        </w:tc>
      </w:tr>
    </w:tbl>
    <w:p w:rsidR="00925350" w:rsidRDefault="00925350" w:rsidP="00FD09C4">
      <w:pPr>
        <w:pStyle w:val="ListParagraph"/>
        <w:spacing w:after="0" w:line="240" w:lineRule="auto"/>
        <w:ind w:left="0" w:firstLine="851"/>
        <w:contextualSpacing w:val="0"/>
        <w:jc w:val="both"/>
        <w:rPr>
          <w:rFonts w:ascii="Arial" w:hAnsi="Arial"/>
          <w:color w:val="000000"/>
          <w:highlight w:val="yellow"/>
        </w:rPr>
      </w:pPr>
    </w:p>
    <w:p w:rsidR="00925350" w:rsidRPr="005E09A2" w:rsidRDefault="00925350" w:rsidP="00FD09C4">
      <w:pPr>
        <w:spacing w:after="120"/>
        <w:jc w:val="both"/>
        <w:rPr>
          <w:rFonts w:ascii="Arial" w:hAnsi="Arial" w:cs="Arial"/>
          <w:b/>
          <w:bCs/>
          <w:lang w:val="en-US"/>
        </w:rPr>
      </w:pPr>
      <w:r w:rsidRPr="005E09A2">
        <w:rPr>
          <w:rFonts w:ascii="Arial" w:hAnsi="Arial"/>
          <w:b/>
          <w:bCs/>
          <w:lang w:val="en-US"/>
        </w:rPr>
        <w:t>Discussion and conclusions</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The preparation of ToR</w:t>
      </w:r>
      <w:r w:rsidRPr="005E09A2">
        <w:rPr>
          <w:rFonts w:ascii="Arial" w:hAnsi="Arial"/>
          <w:color w:val="000000"/>
          <w:lang w:val="en-US"/>
        </w:rPr>
        <w:t xml:space="preserve"> became </w:t>
      </w:r>
      <w:r>
        <w:rPr>
          <w:rFonts w:ascii="Arial" w:hAnsi="Arial"/>
          <w:color w:val="000000"/>
          <w:lang w:val="en-US"/>
        </w:rPr>
        <w:t>mandatory in December 1994. In the reviewed cases, their structure and contents are not uniform and their size varies from mere 3 pages to 25 pages. The more detailed ToR</w:t>
      </w:r>
      <w:r w:rsidRPr="00E81311">
        <w:rPr>
          <w:rFonts w:ascii="Arial" w:hAnsi="Arial"/>
          <w:color w:val="000000"/>
          <w:lang w:val="en-US"/>
        </w:rPr>
        <w:t xml:space="preserve"> </w:t>
      </w:r>
      <w:r>
        <w:rPr>
          <w:rFonts w:ascii="Arial" w:hAnsi="Arial"/>
          <w:color w:val="000000"/>
          <w:lang w:val="en-US"/>
        </w:rPr>
        <w:t xml:space="preserve">set forth guidelines for </w:t>
      </w:r>
      <w:r w:rsidRPr="005E09A2">
        <w:rPr>
          <w:rFonts w:ascii="Arial" w:hAnsi="Arial"/>
          <w:color w:val="000000"/>
          <w:lang w:val="en-US"/>
        </w:rPr>
        <w:t xml:space="preserve">baseline, impact </w:t>
      </w:r>
      <w:r>
        <w:rPr>
          <w:rFonts w:ascii="Arial" w:hAnsi="Arial"/>
          <w:color w:val="000000"/>
          <w:lang w:val="en-US"/>
        </w:rPr>
        <w:t>significance determination</w:t>
      </w:r>
      <w:r w:rsidRPr="005E09A2">
        <w:rPr>
          <w:rFonts w:ascii="Arial" w:hAnsi="Arial"/>
          <w:color w:val="000000"/>
          <w:lang w:val="en-US"/>
        </w:rPr>
        <w:t xml:space="preserve"> and environmental </w:t>
      </w:r>
      <w:r>
        <w:rPr>
          <w:rFonts w:ascii="Arial" w:hAnsi="Arial"/>
          <w:color w:val="000000"/>
          <w:lang w:val="en-US"/>
        </w:rPr>
        <w:t>management</w:t>
      </w:r>
      <w:r w:rsidRPr="005E09A2">
        <w:rPr>
          <w:rFonts w:ascii="Arial" w:hAnsi="Arial"/>
          <w:color w:val="000000"/>
          <w:lang w:val="en-US"/>
        </w:rPr>
        <w:t xml:space="preserve">. </w:t>
      </w:r>
      <w:r>
        <w:rPr>
          <w:rFonts w:ascii="Arial" w:hAnsi="Arial"/>
          <w:color w:val="000000"/>
          <w:lang w:val="en-US"/>
        </w:rPr>
        <w:t xml:space="preserve">Besides regulatory change, </w:t>
      </w:r>
      <w:r w:rsidRPr="00374B63">
        <w:rPr>
          <w:rFonts w:ascii="Arial" w:hAnsi="Arial"/>
          <w:color w:val="000000"/>
          <w:lang w:val="en-US"/>
        </w:rPr>
        <w:t>accumulation of experience</w:t>
      </w:r>
      <w:r>
        <w:rPr>
          <w:rFonts w:ascii="Arial" w:hAnsi="Arial"/>
          <w:color w:val="000000"/>
          <w:lang w:val="en-US"/>
        </w:rPr>
        <w:t xml:space="preserve"> may have influenced these changes (Morgan, 1998).</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Public hearings became more important and influential over time in the reviewed cases. Opinions and requests from the public were explicitly considered in the EIS Review in the more recent cases, evidenced by the finding that the Review Reports requested commitments from the proponent as a result of public hearings. Examples include, in case 5, support to traditional communities, additional environmental management programmes for monitoring air pollution and noise, and its follow-up, and a programme for supporting local labor; in case 6, it includes biodiversity offsets. Despite improvements, the documents contained no evidence of more advanced stakeholder engagement (IAP2, 2007).</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r w:rsidRPr="00047801">
        <w:rPr>
          <w:rFonts w:ascii="Arial" w:hAnsi="Arial"/>
          <w:color w:val="000000"/>
          <w:lang w:val="en-US"/>
        </w:rPr>
        <w:t xml:space="preserve">The </w:t>
      </w:r>
      <w:r>
        <w:rPr>
          <w:rFonts w:ascii="Arial" w:hAnsi="Arial"/>
          <w:color w:val="000000"/>
          <w:lang w:val="en-US"/>
        </w:rPr>
        <w:t>research</w:t>
      </w:r>
      <w:r w:rsidRPr="00047801">
        <w:rPr>
          <w:rFonts w:ascii="Arial" w:hAnsi="Arial"/>
          <w:color w:val="000000"/>
          <w:lang w:val="en-US"/>
        </w:rPr>
        <w:t xml:space="preserve"> </w:t>
      </w:r>
      <w:r>
        <w:rPr>
          <w:rFonts w:ascii="Arial" w:hAnsi="Arial"/>
          <w:color w:val="000000"/>
          <w:lang w:val="en-US"/>
        </w:rPr>
        <w:t>also documented</w:t>
      </w:r>
      <w:r w:rsidRPr="00047801">
        <w:rPr>
          <w:rFonts w:ascii="Arial" w:hAnsi="Arial"/>
          <w:color w:val="000000"/>
          <w:lang w:val="en-US"/>
        </w:rPr>
        <w:t xml:space="preserve"> changes </w:t>
      </w:r>
      <w:r>
        <w:rPr>
          <w:rFonts w:ascii="Arial" w:hAnsi="Arial"/>
          <w:color w:val="000000"/>
          <w:lang w:val="en-US"/>
        </w:rPr>
        <w:t>i</w:t>
      </w:r>
      <w:r w:rsidRPr="00047801">
        <w:rPr>
          <w:rFonts w:ascii="Arial" w:hAnsi="Arial"/>
          <w:color w:val="000000"/>
          <w:lang w:val="en-US"/>
        </w:rPr>
        <w:t xml:space="preserve">n </w:t>
      </w:r>
      <w:r>
        <w:rPr>
          <w:rFonts w:ascii="Arial" w:hAnsi="Arial"/>
          <w:color w:val="000000"/>
          <w:lang w:val="en-US"/>
        </w:rPr>
        <w:t xml:space="preserve">the contents of </w:t>
      </w:r>
      <w:r w:rsidRPr="00047801">
        <w:rPr>
          <w:rFonts w:ascii="Arial" w:hAnsi="Arial"/>
          <w:color w:val="000000"/>
          <w:lang w:val="en-US"/>
        </w:rPr>
        <w:t xml:space="preserve">EIS. Over time, they </w:t>
      </w:r>
      <w:r>
        <w:rPr>
          <w:rFonts w:ascii="Arial" w:hAnsi="Arial"/>
          <w:color w:val="000000"/>
          <w:lang w:val="en-US"/>
        </w:rPr>
        <w:t>became</w:t>
      </w:r>
      <w:r w:rsidRPr="00047801">
        <w:rPr>
          <w:rFonts w:ascii="Arial" w:hAnsi="Arial"/>
          <w:color w:val="000000"/>
          <w:lang w:val="en-US"/>
        </w:rPr>
        <w:t xml:space="preserve"> larger and more experts took part </w:t>
      </w:r>
      <w:r>
        <w:rPr>
          <w:rFonts w:ascii="Arial" w:hAnsi="Arial"/>
          <w:color w:val="000000"/>
          <w:lang w:val="en-US"/>
        </w:rPr>
        <w:t>i</w:t>
      </w:r>
      <w:r w:rsidRPr="00047801">
        <w:rPr>
          <w:rFonts w:ascii="Arial" w:hAnsi="Arial"/>
          <w:color w:val="000000"/>
          <w:lang w:val="en-US"/>
        </w:rPr>
        <w:t xml:space="preserve">n </w:t>
      </w:r>
      <w:r>
        <w:rPr>
          <w:rFonts w:ascii="Arial" w:hAnsi="Arial"/>
          <w:color w:val="000000"/>
          <w:lang w:val="en-US"/>
        </w:rPr>
        <w:t>their</w:t>
      </w:r>
      <w:r w:rsidRPr="00047801">
        <w:rPr>
          <w:rFonts w:ascii="Arial" w:hAnsi="Arial"/>
          <w:color w:val="000000"/>
          <w:lang w:val="en-US"/>
        </w:rPr>
        <w:t xml:space="preserve"> preparation</w:t>
      </w:r>
      <w:r>
        <w:rPr>
          <w:rFonts w:ascii="Arial" w:hAnsi="Arial"/>
          <w:color w:val="000000"/>
          <w:lang w:val="en-US"/>
        </w:rPr>
        <w:t>, confirming findings of Landim and Sánchez (2012)</w:t>
      </w:r>
      <w:r w:rsidRPr="00047801">
        <w:rPr>
          <w:rFonts w:ascii="Arial" w:hAnsi="Arial"/>
          <w:color w:val="000000"/>
          <w:lang w:val="en-US"/>
        </w:rPr>
        <w:t xml:space="preserve">. </w:t>
      </w:r>
      <w:r>
        <w:rPr>
          <w:rFonts w:ascii="Arial" w:hAnsi="Arial"/>
          <w:color w:val="000000"/>
          <w:lang w:val="en-US"/>
        </w:rPr>
        <w:t>The most recent EIS, however</w:t>
      </w:r>
      <w:r w:rsidRPr="00047801">
        <w:rPr>
          <w:rFonts w:ascii="Arial" w:hAnsi="Arial"/>
          <w:color w:val="000000"/>
          <w:lang w:val="en-US"/>
        </w:rPr>
        <w:t xml:space="preserve"> </w:t>
      </w:r>
      <w:r>
        <w:rPr>
          <w:rFonts w:ascii="Arial" w:hAnsi="Arial"/>
          <w:color w:val="000000"/>
          <w:lang w:val="en-US"/>
        </w:rPr>
        <w:t>(</w:t>
      </w:r>
      <w:r w:rsidRPr="00047801">
        <w:rPr>
          <w:rFonts w:ascii="Arial" w:hAnsi="Arial"/>
          <w:color w:val="000000"/>
          <w:lang w:val="en-US"/>
        </w:rPr>
        <w:t>C</w:t>
      </w:r>
      <w:r>
        <w:rPr>
          <w:rFonts w:ascii="Arial" w:hAnsi="Arial"/>
          <w:color w:val="000000"/>
          <w:lang w:val="en-US"/>
        </w:rPr>
        <w:t>a</w:t>
      </w:r>
      <w:r w:rsidRPr="00047801">
        <w:rPr>
          <w:rFonts w:ascii="Arial" w:hAnsi="Arial"/>
          <w:color w:val="000000"/>
          <w:lang w:val="en-US"/>
        </w:rPr>
        <w:t>se 6</w:t>
      </w:r>
      <w:r>
        <w:rPr>
          <w:rFonts w:ascii="Arial" w:hAnsi="Arial"/>
          <w:color w:val="000000"/>
          <w:lang w:val="en-US"/>
        </w:rPr>
        <w:t xml:space="preserve">), is an exception, once </w:t>
      </w:r>
      <w:r w:rsidRPr="0091234B">
        <w:rPr>
          <w:rFonts w:ascii="Arial" w:hAnsi="Arial"/>
          <w:lang w:val="en-US"/>
        </w:rPr>
        <w:t xml:space="preserve">does not comprise </w:t>
      </w:r>
      <w:r>
        <w:rPr>
          <w:rFonts w:ascii="Arial" w:hAnsi="Arial"/>
          <w:lang w:val="en-US"/>
        </w:rPr>
        <w:t>advances observed</w:t>
      </w:r>
      <w:r w:rsidRPr="0091234B">
        <w:rPr>
          <w:rFonts w:ascii="Arial" w:hAnsi="Arial"/>
          <w:lang w:val="en-US"/>
        </w:rPr>
        <w:t xml:space="preserve"> </w:t>
      </w:r>
      <w:r>
        <w:rPr>
          <w:rFonts w:ascii="Arial" w:hAnsi="Arial"/>
          <w:lang w:val="en-US"/>
        </w:rPr>
        <w:t>i</w:t>
      </w:r>
      <w:r w:rsidRPr="0091234B">
        <w:rPr>
          <w:rFonts w:ascii="Arial" w:hAnsi="Arial"/>
          <w:lang w:val="en-US"/>
        </w:rPr>
        <w:t xml:space="preserve">n </w:t>
      </w:r>
      <w:r>
        <w:rPr>
          <w:rFonts w:ascii="Arial" w:hAnsi="Arial"/>
          <w:lang w:val="en-US"/>
        </w:rPr>
        <w:t>other recent</w:t>
      </w:r>
      <w:r w:rsidRPr="0091234B">
        <w:rPr>
          <w:rFonts w:ascii="Arial" w:hAnsi="Arial"/>
          <w:lang w:val="en-US"/>
        </w:rPr>
        <w:t xml:space="preserve"> EIS, especially </w:t>
      </w:r>
      <w:r>
        <w:rPr>
          <w:rFonts w:ascii="Arial" w:hAnsi="Arial"/>
          <w:lang w:val="en-US"/>
        </w:rPr>
        <w:t>c</w:t>
      </w:r>
      <w:r w:rsidRPr="0091234B">
        <w:rPr>
          <w:rFonts w:ascii="Arial" w:hAnsi="Arial"/>
          <w:lang w:val="en-US"/>
        </w:rPr>
        <w:t>ase 5</w:t>
      </w:r>
      <w:r w:rsidRPr="00DF5579">
        <w:rPr>
          <w:rFonts w:ascii="Arial" w:hAnsi="Arial"/>
          <w:color w:val="00B050"/>
          <w:lang w:val="en-US"/>
        </w:rPr>
        <w:t xml:space="preserve">. </w:t>
      </w:r>
      <w:r>
        <w:rPr>
          <w:rFonts w:ascii="Arial" w:hAnsi="Arial"/>
          <w:color w:val="000000"/>
          <w:lang w:val="en-US"/>
        </w:rPr>
        <w:t>Some</w:t>
      </w:r>
      <w:r w:rsidRPr="00047801">
        <w:rPr>
          <w:rFonts w:ascii="Arial" w:hAnsi="Arial"/>
          <w:color w:val="000000"/>
          <w:lang w:val="en-US"/>
        </w:rPr>
        <w:t xml:space="preserve"> </w:t>
      </w:r>
      <w:r>
        <w:rPr>
          <w:rFonts w:ascii="Arial" w:hAnsi="Arial"/>
          <w:color w:val="000000"/>
          <w:lang w:val="en-US"/>
        </w:rPr>
        <w:t xml:space="preserve">observed </w:t>
      </w:r>
      <w:r w:rsidRPr="00047801">
        <w:rPr>
          <w:rFonts w:ascii="Arial" w:hAnsi="Arial"/>
          <w:color w:val="000000"/>
          <w:lang w:val="en-US"/>
        </w:rPr>
        <w:t xml:space="preserve">advances </w:t>
      </w:r>
      <w:r>
        <w:rPr>
          <w:rFonts w:ascii="Arial" w:hAnsi="Arial"/>
          <w:color w:val="000000"/>
          <w:lang w:val="en-US"/>
        </w:rPr>
        <w:t>can be attributed to legislation,</w:t>
      </w:r>
      <w:r w:rsidRPr="00047801">
        <w:rPr>
          <w:rFonts w:ascii="Arial" w:hAnsi="Arial"/>
          <w:color w:val="000000"/>
          <w:lang w:val="en-US"/>
        </w:rPr>
        <w:t xml:space="preserve"> like </w:t>
      </w:r>
      <w:r>
        <w:rPr>
          <w:rFonts w:ascii="Arial" w:hAnsi="Arial"/>
          <w:color w:val="000000"/>
          <w:lang w:val="en-US"/>
        </w:rPr>
        <w:t xml:space="preserve">the </w:t>
      </w:r>
      <w:r w:rsidRPr="00047801">
        <w:rPr>
          <w:rFonts w:ascii="Arial" w:hAnsi="Arial"/>
          <w:color w:val="000000"/>
          <w:lang w:val="en-US"/>
        </w:rPr>
        <w:t xml:space="preserve">consideration of </w:t>
      </w:r>
      <w:r>
        <w:rPr>
          <w:rFonts w:ascii="Arial" w:hAnsi="Arial"/>
          <w:color w:val="000000"/>
          <w:lang w:val="en-US"/>
        </w:rPr>
        <w:t xml:space="preserve">potential impacts on </w:t>
      </w:r>
      <w:r w:rsidRPr="00047801">
        <w:rPr>
          <w:rFonts w:ascii="Arial" w:hAnsi="Arial"/>
          <w:color w:val="000000"/>
          <w:lang w:val="en-US"/>
        </w:rPr>
        <w:t>protected areas in the project surroundings</w:t>
      </w:r>
      <w:r>
        <w:rPr>
          <w:rFonts w:ascii="Arial" w:hAnsi="Arial"/>
          <w:color w:val="000000"/>
          <w:lang w:val="en-US"/>
        </w:rPr>
        <w:t xml:space="preserve"> (due to a law passed in 2000) and</w:t>
      </w:r>
      <w:r w:rsidRPr="00047801">
        <w:rPr>
          <w:rFonts w:ascii="Arial" w:hAnsi="Arial"/>
          <w:color w:val="000000"/>
          <w:lang w:val="en-US"/>
        </w:rPr>
        <w:t xml:space="preserve"> archaeological studies</w:t>
      </w:r>
      <w:r>
        <w:rPr>
          <w:rFonts w:ascii="Arial" w:hAnsi="Arial"/>
          <w:color w:val="000000"/>
          <w:lang w:val="en-US"/>
        </w:rPr>
        <w:t xml:space="preserve"> (due to new regulations in 2003), both found from Case 4 onwards. Other advances, like </w:t>
      </w:r>
      <w:r w:rsidRPr="00047801">
        <w:rPr>
          <w:rFonts w:ascii="Arial" w:hAnsi="Arial"/>
          <w:color w:val="000000"/>
          <w:lang w:val="en-US"/>
        </w:rPr>
        <w:t>surveys undertaken</w:t>
      </w:r>
      <w:r>
        <w:rPr>
          <w:rFonts w:ascii="Arial" w:hAnsi="Arial"/>
          <w:color w:val="000000"/>
          <w:lang w:val="en-US"/>
        </w:rPr>
        <w:t xml:space="preserve"> </w:t>
      </w:r>
      <w:r w:rsidRPr="00047801">
        <w:rPr>
          <w:rFonts w:ascii="Arial" w:hAnsi="Arial"/>
          <w:color w:val="000000"/>
          <w:lang w:val="en-US"/>
        </w:rPr>
        <w:t>with affected communities</w:t>
      </w:r>
      <w:r>
        <w:rPr>
          <w:rFonts w:ascii="Arial" w:hAnsi="Arial"/>
          <w:color w:val="000000"/>
          <w:lang w:val="en-US"/>
        </w:rPr>
        <w:t xml:space="preserve">, found from Case 3 onwards (except case 6, as described before), may be due to mandatory ToR, more regulation (Landim and Sánchez, 2012) and experience accumulation (Morgan, 1998). </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 xml:space="preserve">Project description, use of primary data on physical and biotical baseline, methodologies on impact assessment and use of data from baseline on impact assessment and prediction were recurrent practices, but got more detailed over time, due ToR inception and more detailed ToR over time.  </w:t>
      </w:r>
    </w:p>
    <w:p w:rsidR="00925350" w:rsidRPr="00FC0147"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 xml:space="preserve">Some sporadic evolutions, like landscape analysis (case 5), were found, but did not become recurrent practice and cannot be considered as advances, with baseline remaining descriptive with no new approaches (Landim and Sánchez, 2012). Other changes, like, consideration of cumulative impacts (cases 3 and 4), monitoring of significant impacts (case 5) and environmental programmes detailing (case 4, but without goals and indicators) were also sporadic. </w:t>
      </w:r>
    </w:p>
    <w:p w:rsidR="00925350"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 xml:space="preserve">The practice of requiring the </w:t>
      </w:r>
      <w:r w:rsidRPr="005C5603">
        <w:rPr>
          <w:rFonts w:ascii="Arial" w:hAnsi="Arial"/>
          <w:color w:val="000000"/>
          <w:lang w:val="en-US"/>
        </w:rPr>
        <w:t xml:space="preserve">EIS </w:t>
      </w:r>
      <w:r>
        <w:rPr>
          <w:rFonts w:ascii="Arial" w:hAnsi="Arial"/>
          <w:color w:val="000000"/>
          <w:lang w:val="en-US"/>
        </w:rPr>
        <w:t>to be s</w:t>
      </w:r>
      <w:r w:rsidRPr="005C5603">
        <w:rPr>
          <w:rFonts w:ascii="Arial" w:hAnsi="Arial"/>
          <w:color w:val="000000"/>
          <w:lang w:val="en-US"/>
        </w:rPr>
        <w:t>upplement</w:t>
      </w:r>
      <w:r>
        <w:rPr>
          <w:rFonts w:ascii="Arial" w:hAnsi="Arial"/>
          <w:color w:val="000000"/>
          <w:lang w:val="en-US"/>
        </w:rPr>
        <w:t>ed</w:t>
      </w:r>
      <w:r w:rsidRPr="005C5603">
        <w:rPr>
          <w:rFonts w:ascii="Arial" w:hAnsi="Arial"/>
          <w:color w:val="000000"/>
          <w:lang w:val="en-US"/>
        </w:rPr>
        <w:t xml:space="preserve"> </w:t>
      </w:r>
      <w:r>
        <w:rPr>
          <w:rFonts w:ascii="Arial" w:hAnsi="Arial"/>
          <w:color w:val="000000"/>
          <w:lang w:val="en-US"/>
        </w:rPr>
        <w:t>ha</w:t>
      </w:r>
      <w:r w:rsidRPr="005C5603">
        <w:rPr>
          <w:rFonts w:ascii="Arial" w:hAnsi="Arial"/>
          <w:color w:val="000000"/>
          <w:lang w:val="en-US"/>
        </w:rPr>
        <w:t xml:space="preserve">s </w:t>
      </w:r>
      <w:r>
        <w:rPr>
          <w:rFonts w:ascii="Arial" w:hAnsi="Arial"/>
          <w:color w:val="000000"/>
          <w:lang w:val="en-US"/>
        </w:rPr>
        <w:t>been</w:t>
      </w:r>
      <w:r w:rsidRPr="005C5603">
        <w:rPr>
          <w:rFonts w:ascii="Arial" w:hAnsi="Arial"/>
          <w:color w:val="000000"/>
          <w:lang w:val="en-US"/>
        </w:rPr>
        <w:t xml:space="preserve"> recurrent </w:t>
      </w:r>
      <w:r>
        <w:rPr>
          <w:rFonts w:ascii="Arial" w:hAnsi="Arial"/>
          <w:color w:val="000000"/>
          <w:lang w:val="en-US"/>
        </w:rPr>
        <w:t>over the whole period</w:t>
      </w:r>
      <w:r w:rsidRPr="005C5603">
        <w:rPr>
          <w:rFonts w:ascii="Arial" w:hAnsi="Arial"/>
          <w:color w:val="000000"/>
          <w:lang w:val="en-US"/>
        </w:rPr>
        <w:t xml:space="preserve">. </w:t>
      </w:r>
      <w:r>
        <w:rPr>
          <w:rFonts w:ascii="Arial" w:hAnsi="Arial"/>
          <w:color w:val="000000"/>
          <w:lang w:val="en-US"/>
        </w:rPr>
        <w:t xml:space="preserve">The driver of such request is either deficiencies found during EIS review or gaps identified in the public hearing or during the site visit conducted by the Agency’s officers. </w:t>
      </w:r>
    </w:p>
    <w:p w:rsidR="00925350" w:rsidRPr="00300927" w:rsidRDefault="00925350" w:rsidP="00FD09C4">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Review Reports also got larger and more detailed over time and began to request more commitments from the proponents and recommend additional mitigation and environmental programmes.</w:t>
      </w:r>
      <w:r w:rsidRPr="00BF644E">
        <w:rPr>
          <w:rFonts w:ascii="Arial" w:hAnsi="Arial"/>
          <w:color w:val="000000"/>
          <w:lang w:val="en-US"/>
        </w:rPr>
        <w:t xml:space="preserve"> </w:t>
      </w:r>
      <w:r>
        <w:rPr>
          <w:rFonts w:ascii="Arial" w:hAnsi="Arial"/>
          <w:color w:val="000000"/>
          <w:lang w:val="en-US"/>
        </w:rPr>
        <w:t>Conditions for project follow-up were usual practice, despite on cases 5 and 6 they became more detailed</w:t>
      </w:r>
      <w:r w:rsidRPr="007D501E">
        <w:rPr>
          <w:rFonts w:ascii="Arial" w:hAnsi="Arial"/>
          <w:color w:val="000000"/>
          <w:lang w:val="en-US"/>
        </w:rPr>
        <w:t xml:space="preserve">, due </w:t>
      </w:r>
      <w:r>
        <w:rPr>
          <w:rFonts w:ascii="Arial" w:hAnsi="Arial"/>
          <w:color w:val="000000"/>
          <w:lang w:val="en-US"/>
        </w:rPr>
        <w:t xml:space="preserve">to </w:t>
      </w:r>
      <w:r w:rsidRPr="007D501E">
        <w:rPr>
          <w:rFonts w:ascii="Arial" w:hAnsi="Arial"/>
          <w:color w:val="000000"/>
          <w:lang w:val="en-US"/>
        </w:rPr>
        <w:t>improved regulation by Agency</w:t>
      </w:r>
      <w:r>
        <w:rPr>
          <w:rFonts w:ascii="Arial" w:hAnsi="Arial"/>
          <w:color w:val="000000"/>
          <w:lang w:val="en-US"/>
        </w:rPr>
        <w:t>. Experience accumulation may also be cited for it (Morgan, 1998, 2012).</w:t>
      </w:r>
    </w:p>
    <w:p w:rsidR="00925350" w:rsidRPr="006A69CA" w:rsidRDefault="00925350" w:rsidP="006A69CA">
      <w:pPr>
        <w:pStyle w:val="ListParagraph"/>
        <w:spacing w:after="0" w:line="240" w:lineRule="auto"/>
        <w:ind w:left="0" w:firstLine="426"/>
        <w:contextualSpacing w:val="0"/>
        <w:jc w:val="both"/>
        <w:rPr>
          <w:rFonts w:ascii="Arial" w:hAnsi="Arial"/>
          <w:color w:val="000000"/>
          <w:lang w:val="en-US"/>
        </w:rPr>
      </w:pPr>
      <w:r>
        <w:rPr>
          <w:rFonts w:ascii="Arial" w:hAnsi="Arial"/>
          <w:color w:val="000000"/>
          <w:lang w:val="en-US"/>
        </w:rPr>
        <w:t>Considering the findings, p</w:t>
      </w:r>
      <w:r w:rsidRPr="006A69CA">
        <w:rPr>
          <w:rFonts w:ascii="Arial" w:hAnsi="Arial"/>
          <w:color w:val="000000"/>
          <w:lang w:val="en-US"/>
        </w:rPr>
        <w:t xml:space="preserve">otential improvements </w:t>
      </w:r>
      <w:r>
        <w:rPr>
          <w:rFonts w:ascii="Arial" w:hAnsi="Arial"/>
          <w:color w:val="000000"/>
          <w:lang w:val="en-US"/>
        </w:rPr>
        <w:t xml:space="preserve">comprise: </w:t>
      </w:r>
      <w:r w:rsidRPr="006A69CA">
        <w:rPr>
          <w:rFonts w:ascii="Arial" w:hAnsi="Arial"/>
          <w:color w:val="000000"/>
          <w:lang w:val="en-US"/>
        </w:rPr>
        <w:t xml:space="preserve">changes on Agency procedures, with public hearing and mandatory </w:t>
      </w:r>
      <w:r>
        <w:rPr>
          <w:rFonts w:ascii="Arial" w:hAnsi="Arial"/>
          <w:color w:val="000000"/>
          <w:lang w:val="en-US"/>
        </w:rPr>
        <w:t>site visit</w:t>
      </w:r>
      <w:r w:rsidRPr="006A69CA">
        <w:rPr>
          <w:rFonts w:ascii="Arial" w:hAnsi="Arial"/>
          <w:color w:val="000000"/>
          <w:lang w:val="en-US"/>
        </w:rPr>
        <w:t xml:space="preserve"> on the scoping phase; adoption of specific metho</w:t>
      </w:r>
      <w:r>
        <w:rPr>
          <w:rFonts w:ascii="Arial" w:hAnsi="Arial"/>
          <w:color w:val="000000"/>
          <w:lang w:val="en-US"/>
        </w:rPr>
        <w:t>do</w:t>
      </w:r>
      <w:r w:rsidRPr="006A69CA">
        <w:rPr>
          <w:rFonts w:ascii="Arial" w:hAnsi="Arial"/>
          <w:color w:val="000000"/>
          <w:lang w:val="en-US"/>
        </w:rPr>
        <w:t xml:space="preserve">logies for scoping phase and </w:t>
      </w:r>
      <w:r>
        <w:rPr>
          <w:rFonts w:ascii="Arial" w:hAnsi="Arial"/>
          <w:color w:val="000000"/>
          <w:lang w:val="en-US"/>
        </w:rPr>
        <w:t>EIS review</w:t>
      </w:r>
      <w:r w:rsidRPr="006A69CA">
        <w:rPr>
          <w:rFonts w:ascii="Arial" w:hAnsi="Arial"/>
          <w:color w:val="000000"/>
          <w:lang w:val="en-US"/>
        </w:rPr>
        <w:t xml:space="preserve">; and inclusion of new issues, as cumulative and synergic impact assessment and use of indicators in </w:t>
      </w:r>
      <w:r>
        <w:rPr>
          <w:rFonts w:ascii="Arial" w:hAnsi="Arial"/>
          <w:color w:val="000000"/>
          <w:lang w:val="en-US"/>
        </w:rPr>
        <w:t>e</w:t>
      </w:r>
      <w:r w:rsidRPr="006A69CA">
        <w:rPr>
          <w:rFonts w:ascii="Arial" w:hAnsi="Arial"/>
          <w:color w:val="000000"/>
          <w:lang w:val="en-US"/>
        </w:rPr>
        <w:t xml:space="preserve">nvironmental </w:t>
      </w:r>
      <w:r>
        <w:rPr>
          <w:rFonts w:ascii="Arial" w:hAnsi="Arial"/>
          <w:color w:val="000000"/>
          <w:lang w:val="en-US"/>
        </w:rPr>
        <w:t>p</w:t>
      </w:r>
      <w:r w:rsidRPr="006A69CA">
        <w:rPr>
          <w:rFonts w:ascii="Arial" w:hAnsi="Arial"/>
          <w:color w:val="000000"/>
          <w:lang w:val="en-US"/>
        </w:rPr>
        <w:t>rogrammes.</w:t>
      </w:r>
    </w:p>
    <w:p w:rsidR="00925350" w:rsidRPr="006A69CA" w:rsidRDefault="00925350" w:rsidP="00FD09C4">
      <w:pPr>
        <w:jc w:val="both"/>
        <w:rPr>
          <w:rFonts w:ascii="Arial" w:hAnsi="Arial" w:cs="Arial"/>
          <w:b/>
          <w:bCs/>
          <w:highlight w:val="yellow"/>
          <w:lang w:val="en-US"/>
        </w:rPr>
      </w:pPr>
    </w:p>
    <w:p w:rsidR="00925350" w:rsidRPr="00300927" w:rsidRDefault="00925350" w:rsidP="00FD09C4">
      <w:pPr>
        <w:jc w:val="both"/>
        <w:rPr>
          <w:rFonts w:ascii="Arial" w:hAnsi="Arial" w:cs="Arial"/>
          <w:b/>
          <w:bCs/>
          <w:lang w:val="en-US"/>
        </w:rPr>
      </w:pPr>
      <w:r w:rsidRPr="00300927">
        <w:rPr>
          <w:rFonts w:ascii="Arial" w:hAnsi="Arial"/>
          <w:b/>
          <w:bCs/>
          <w:lang w:val="en-US"/>
        </w:rPr>
        <w:t>References</w:t>
      </w:r>
    </w:p>
    <w:p w:rsidR="00925350" w:rsidRPr="00A716F1" w:rsidRDefault="00925350" w:rsidP="00A716F1">
      <w:pPr>
        <w:pStyle w:val="BodyTextIndent"/>
        <w:widowControl w:val="0"/>
        <w:spacing w:before="120"/>
        <w:ind w:firstLine="0"/>
        <w:rPr>
          <w:color w:val="000000"/>
          <w:sz w:val="22"/>
          <w:szCs w:val="22"/>
          <w:lang w:val="en-US"/>
        </w:rPr>
      </w:pPr>
      <w:r w:rsidRPr="00A716F1">
        <w:rPr>
          <w:color w:val="000000"/>
          <w:sz w:val="22"/>
          <w:szCs w:val="22"/>
          <w:lang w:val="en-US"/>
        </w:rPr>
        <w:t>B</w:t>
      </w:r>
      <w:r>
        <w:rPr>
          <w:color w:val="000000"/>
          <w:sz w:val="22"/>
          <w:szCs w:val="22"/>
          <w:lang w:val="en-US"/>
        </w:rPr>
        <w:t xml:space="preserve">AUER, </w:t>
      </w:r>
      <w:r w:rsidRPr="00A716F1">
        <w:rPr>
          <w:color w:val="000000"/>
          <w:sz w:val="22"/>
          <w:szCs w:val="22"/>
          <w:lang w:val="en-US"/>
        </w:rPr>
        <w:t>M</w:t>
      </w:r>
      <w:r>
        <w:rPr>
          <w:color w:val="000000"/>
          <w:sz w:val="22"/>
          <w:szCs w:val="22"/>
          <w:lang w:val="en-US"/>
        </w:rPr>
        <w:t>.</w:t>
      </w:r>
      <w:r w:rsidRPr="00A716F1">
        <w:rPr>
          <w:color w:val="000000"/>
          <w:sz w:val="22"/>
          <w:szCs w:val="22"/>
          <w:lang w:val="en-US"/>
        </w:rPr>
        <w:t xml:space="preserve">W. </w:t>
      </w:r>
      <w:r w:rsidRPr="00A716F1">
        <w:rPr>
          <w:b/>
          <w:color w:val="000000"/>
          <w:sz w:val="22"/>
          <w:szCs w:val="22"/>
          <w:lang w:val="en-US"/>
        </w:rPr>
        <w:t>Qualitative researching with text, image and sound: a practical handbook</w:t>
      </w:r>
      <w:r w:rsidRPr="00A716F1">
        <w:rPr>
          <w:color w:val="000000"/>
          <w:sz w:val="22"/>
          <w:szCs w:val="22"/>
          <w:lang w:val="en-US"/>
        </w:rPr>
        <w:t>. London: Sage.</w:t>
      </w:r>
      <w:r>
        <w:rPr>
          <w:color w:val="000000"/>
          <w:sz w:val="22"/>
          <w:szCs w:val="22"/>
          <w:lang w:val="en-US"/>
        </w:rPr>
        <w:t xml:space="preserve"> 2000.</w:t>
      </w:r>
    </w:p>
    <w:p w:rsidR="00925350" w:rsidRPr="00486E27" w:rsidRDefault="00925350" w:rsidP="00486E27">
      <w:pPr>
        <w:pStyle w:val="BodyTextIndent"/>
        <w:widowControl w:val="0"/>
        <w:spacing w:before="120"/>
        <w:ind w:firstLine="0"/>
        <w:rPr>
          <w:color w:val="000000"/>
          <w:sz w:val="22"/>
          <w:szCs w:val="22"/>
          <w:lang w:val="en-US"/>
        </w:rPr>
      </w:pPr>
      <w:r w:rsidRPr="00486E27">
        <w:rPr>
          <w:color w:val="000000"/>
          <w:sz w:val="22"/>
          <w:szCs w:val="22"/>
          <w:lang w:val="en-US"/>
        </w:rPr>
        <w:t>BOND, A.; POPE, J.; MORRISON-SAUNDERS, A.; RETIEF, F.; GUNN, J.A.E.</w:t>
      </w:r>
      <w:r>
        <w:rPr>
          <w:color w:val="000000"/>
          <w:sz w:val="22"/>
          <w:szCs w:val="22"/>
          <w:lang w:val="en-US"/>
        </w:rPr>
        <w:t xml:space="preserve"> </w:t>
      </w:r>
      <w:r w:rsidRPr="00486E27">
        <w:rPr>
          <w:color w:val="000000"/>
          <w:sz w:val="22"/>
          <w:szCs w:val="22"/>
          <w:lang w:val="en-US"/>
        </w:rPr>
        <w:t>Impact assessment: Eroding benefits through streamlining?</w:t>
      </w:r>
      <w:r>
        <w:rPr>
          <w:color w:val="000000"/>
          <w:sz w:val="22"/>
          <w:szCs w:val="22"/>
          <w:lang w:val="en-US"/>
        </w:rPr>
        <w:t xml:space="preserve"> </w:t>
      </w:r>
      <w:r w:rsidRPr="00486E27">
        <w:rPr>
          <w:b/>
          <w:color w:val="000000"/>
          <w:sz w:val="22"/>
          <w:szCs w:val="22"/>
          <w:lang w:val="en-US"/>
        </w:rPr>
        <w:t>Environmental Impact Assessment Review</w:t>
      </w:r>
      <w:r w:rsidRPr="00486E27">
        <w:rPr>
          <w:color w:val="000000"/>
          <w:sz w:val="22"/>
          <w:szCs w:val="22"/>
          <w:lang w:val="en-US"/>
        </w:rPr>
        <w:t>. v. 45, pp. 46-53. 2014.</w:t>
      </w:r>
    </w:p>
    <w:p w:rsidR="00925350" w:rsidRDefault="00925350" w:rsidP="00FD09C4">
      <w:pPr>
        <w:pStyle w:val="BodyTextIndent"/>
        <w:widowControl w:val="0"/>
        <w:spacing w:before="120"/>
        <w:ind w:firstLine="0"/>
        <w:rPr>
          <w:rFonts w:cs="Arial"/>
          <w:sz w:val="22"/>
          <w:szCs w:val="22"/>
          <w:lang w:val="en-US"/>
        </w:rPr>
      </w:pPr>
      <w:r w:rsidRPr="00994DBE">
        <w:rPr>
          <w:color w:val="000000"/>
          <w:sz w:val="22"/>
          <w:szCs w:val="22"/>
          <w:lang w:val="en-US"/>
        </w:rPr>
        <w:t>EC, European Co</w:t>
      </w:r>
      <w:r>
        <w:rPr>
          <w:color w:val="000000"/>
          <w:sz w:val="22"/>
          <w:szCs w:val="22"/>
          <w:lang w:val="en-US"/>
        </w:rPr>
        <w:t>m</w:t>
      </w:r>
      <w:r w:rsidRPr="00994DBE">
        <w:rPr>
          <w:color w:val="000000"/>
          <w:sz w:val="22"/>
          <w:szCs w:val="22"/>
          <w:lang w:val="en-US"/>
        </w:rPr>
        <w:t>mission.</w:t>
      </w:r>
      <w:r w:rsidRPr="006A69CA">
        <w:rPr>
          <w:color w:val="000000"/>
          <w:lang w:val="en-US"/>
        </w:rPr>
        <w:t xml:space="preserve"> </w:t>
      </w:r>
      <w:r w:rsidRPr="00A808B5">
        <w:rPr>
          <w:rFonts w:cs="Arial"/>
          <w:b/>
          <w:sz w:val="22"/>
          <w:szCs w:val="22"/>
          <w:lang w:val="en-US"/>
        </w:rPr>
        <w:t>Guidance on EIA: Scoping</w:t>
      </w:r>
      <w:r w:rsidRPr="00AE3350">
        <w:rPr>
          <w:rFonts w:cs="Arial"/>
          <w:sz w:val="22"/>
          <w:szCs w:val="22"/>
          <w:lang w:val="en-US"/>
        </w:rPr>
        <w:t>. Luxembourg: Office for Official Publications of the European Communities, 2001.</w:t>
      </w:r>
    </w:p>
    <w:p w:rsidR="00925350" w:rsidRPr="00A808B5" w:rsidRDefault="00925350" w:rsidP="00A83717">
      <w:pPr>
        <w:pStyle w:val="BodyTextIndent"/>
        <w:widowControl w:val="0"/>
        <w:spacing w:before="120"/>
        <w:ind w:firstLine="0"/>
        <w:rPr>
          <w:color w:val="000000"/>
          <w:sz w:val="22"/>
          <w:szCs w:val="22"/>
          <w:lang w:val="en-US"/>
        </w:rPr>
      </w:pPr>
      <w:r w:rsidRPr="00A83717">
        <w:rPr>
          <w:rFonts w:cs="Arial"/>
          <w:sz w:val="22"/>
          <w:szCs w:val="22"/>
        </w:rPr>
        <w:t>DUARTE, C.G.; FERREIRA, V.H; S</w:t>
      </w:r>
      <w:r>
        <w:rPr>
          <w:rFonts w:cs="Arial"/>
          <w:sz w:val="22"/>
          <w:szCs w:val="22"/>
        </w:rPr>
        <w:t xml:space="preserve">ÁNCHEZ, L.E. </w:t>
      </w:r>
      <w:r w:rsidRPr="00A83717">
        <w:rPr>
          <w:color w:val="000000"/>
          <w:sz w:val="22"/>
          <w:szCs w:val="22"/>
        </w:rPr>
        <w:t>Analisando audiências públicas no licenciamento ambiental: quem são e o que dizem os participantes sobre projetos de usinas de cana-de-açúcar</w:t>
      </w:r>
      <w:r>
        <w:rPr>
          <w:color w:val="000000"/>
          <w:sz w:val="22"/>
          <w:szCs w:val="22"/>
        </w:rPr>
        <w:t xml:space="preserve">. </w:t>
      </w:r>
      <w:r w:rsidRPr="00A808B5">
        <w:rPr>
          <w:b/>
          <w:color w:val="000000"/>
          <w:sz w:val="22"/>
          <w:szCs w:val="22"/>
          <w:lang w:val="en-US"/>
        </w:rPr>
        <w:t>Saúde e Sociedade</w:t>
      </w:r>
      <w:r w:rsidRPr="00A808B5">
        <w:rPr>
          <w:color w:val="000000"/>
          <w:sz w:val="22"/>
          <w:szCs w:val="22"/>
          <w:lang w:val="en-US"/>
        </w:rPr>
        <w:t>. v. 25, n. 4, pp. 1075-1094. 2016.</w:t>
      </w:r>
    </w:p>
    <w:p w:rsidR="00925350" w:rsidRDefault="00925350" w:rsidP="00FD09C4">
      <w:pPr>
        <w:pStyle w:val="BodyTextIndent"/>
        <w:widowControl w:val="0"/>
        <w:spacing w:before="120"/>
        <w:ind w:firstLine="0"/>
        <w:rPr>
          <w:rFonts w:cs="Arial"/>
          <w:sz w:val="22"/>
          <w:szCs w:val="22"/>
          <w:lang w:val="en-US"/>
        </w:rPr>
      </w:pPr>
      <w:r w:rsidRPr="00A808B5">
        <w:rPr>
          <w:rFonts w:cs="Arial"/>
          <w:sz w:val="22"/>
          <w:szCs w:val="22"/>
          <w:lang w:val="en-US"/>
        </w:rPr>
        <w:t xml:space="preserve">IAP2 – INTERNATIONAL ASSOCIATION FOR PUBLIC PARTICIPATION. IAP2 </w:t>
      </w:r>
      <w:r w:rsidRPr="00A808B5">
        <w:rPr>
          <w:rFonts w:cs="Arial"/>
          <w:b/>
          <w:sz w:val="22"/>
          <w:szCs w:val="22"/>
          <w:lang w:val="en-US"/>
        </w:rPr>
        <w:t>Spectrum of Public Participation</w:t>
      </w:r>
      <w:r w:rsidRPr="00A808B5">
        <w:rPr>
          <w:rFonts w:cs="Arial"/>
          <w:sz w:val="22"/>
          <w:szCs w:val="22"/>
          <w:lang w:val="en-US"/>
        </w:rPr>
        <w:t xml:space="preserve">. 2007. </w:t>
      </w:r>
      <w:r w:rsidRPr="00F01390">
        <w:rPr>
          <w:rFonts w:cs="Arial"/>
          <w:sz w:val="22"/>
          <w:szCs w:val="22"/>
          <w:lang w:val="en-US"/>
        </w:rPr>
        <w:t xml:space="preserve">Available </w:t>
      </w:r>
      <w:hyperlink r:id="rId7" w:history="1">
        <w:r w:rsidRPr="00F01390">
          <w:rPr>
            <w:rStyle w:val="Hyperlink"/>
            <w:rFonts w:cs="Arial"/>
            <w:sz w:val="22"/>
            <w:szCs w:val="22"/>
            <w:lang w:val="en-US"/>
          </w:rPr>
          <w:t>https://c.ymcdn.com/sites/www.iap2.org/ resource/resmgr/imported/IAP2%20Spectrum_vertical.pdf</w:t>
        </w:r>
      </w:hyperlink>
      <w:r w:rsidRPr="00F01390">
        <w:rPr>
          <w:rFonts w:cs="Arial"/>
          <w:sz w:val="22"/>
          <w:szCs w:val="22"/>
          <w:lang w:val="en-US"/>
        </w:rPr>
        <w:t xml:space="preserve">. </w:t>
      </w:r>
      <w:r w:rsidRPr="00AE3350">
        <w:rPr>
          <w:rFonts w:cs="Arial"/>
          <w:sz w:val="22"/>
          <w:szCs w:val="22"/>
          <w:lang w:val="en-US"/>
        </w:rPr>
        <w:t>A</w:t>
      </w:r>
      <w:r>
        <w:rPr>
          <w:rFonts w:cs="Arial"/>
          <w:sz w:val="22"/>
          <w:szCs w:val="22"/>
          <w:lang w:val="en-US"/>
        </w:rPr>
        <w:t>c</w:t>
      </w:r>
      <w:r w:rsidRPr="00AE3350">
        <w:rPr>
          <w:rFonts w:cs="Arial"/>
          <w:sz w:val="22"/>
          <w:szCs w:val="22"/>
          <w:lang w:val="en-US"/>
        </w:rPr>
        <w:t>cess on 06/23/2016.</w:t>
      </w:r>
    </w:p>
    <w:p w:rsidR="00925350" w:rsidRPr="00F01390" w:rsidRDefault="00925350" w:rsidP="00F01390">
      <w:pPr>
        <w:pStyle w:val="Default"/>
        <w:rPr>
          <w:rFonts w:ascii="Arial" w:hAnsi="Arial" w:cs="Arial"/>
          <w:color w:val="auto"/>
          <w:sz w:val="22"/>
          <w:szCs w:val="22"/>
          <w:lang w:val="en-US" w:eastAsia="ar-SA"/>
        </w:rPr>
      </w:pPr>
      <w:r w:rsidRPr="00F01390">
        <w:rPr>
          <w:rFonts w:ascii="Arial" w:hAnsi="Arial" w:cs="Arial"/>
          <w:color w:val="auto"/>
          <w:sz w:val="22"/>
          <w:szCs w:val="22"/>
          <w:lang w:val="en-US" w:eastAsia="ar-SA"/>
        </w:rPr>
        <w:t>KÅGSTRÖM, M. Between ‘best’ and ‘good enough’: How consultants guide quality in environmental assessment.</w:t>
      </w:r>
      <w:r w:rsidRPr="00F01390">
        <w:rPr>
          <w:rFonts w:ascii="Arial" w:hAnsi="Arial" w:cs="Arial"/>
          <w:sz w:val="22"/>
          <w:szCs w:val="22"/>
          <w:lang w:val="en-US"/>
        </w:rPr>
        <w:t xml:space="preserve"> </w:t>
      </w:r>
      <w:r w:rsidRPr="00F01390">
        <w:rPr>
          <w:rFonts w:ascii="Arial" w:hAnsi="Arial" w:cs="Arial"/>
          <w:b/>
          <w:sz w:val="22"/>
          <w:szCs w:val="22"/>
          <w:lang w:val="en-US"/>
        </w:rPr>
        <w:t xml:space="preserve">Environmental </w:t>
      </w:r>
      <w:r>
        <w:rPr>
          <w:rFonts w:ascii="Arial" w:hAnsi="Arial" w:cs="Arial"/>
          <w:b/>
          <w:sz w:val="22"/>
          <w:szCs w:val="22"/>
          <w:lang w:val="en-US"/>
        </w:rPr>
        <w:t>I</w:t>
      </w:r>
      <w:r w:rsidRPr="00F01390">
        <w:rPr>
          <w:rFonts w:ascii="Arial" w:hAnsi="Arial" w:cs="Arial"/>
          <w:b/>
          <w:sz w:val="22"/>
          <w:szCs w:val="22"/>
          <w:lang w:val="en-US"/>
        </w:rPr>
        <w:t xml:space="preserve">mpact </w:t>
      </w:r>
      <w:r>
        <w:rPr>
          <w:rFonts w:ascii="Arial" w:hAnsi="Arial" w:cs="Arial"/>
          <w:b/>
          <w:sz w:val="22"/>
          <w:szCs w:val="22"/>
          <w:lang w:val="en-US"/>
        </w:rPr>
        <w:t>A</w:t>
      </w:r>
      <w:r w:rsidRPr="00F01390">
        <w:rPr>
          <w:rFonts w:ascii="Arial" w:hAnsi="Arial" w:cs="Arial"/>
          <w:b/>
          <w:sz w:val="22"/>
          <w:szCs w:val="22"/>
          <w:lang w:val="en-US"/>
        </w:rPr>
        <w:t xml:space="preserve">ssessment </w:t>
      </w:r>
      <w:r>
        <w:rPr>
          <w:rFonts w:ascii="Arial" w:hAnsi="Arial" w:cs="Arial"/>
          <w:b/>
          <w:sz w:val="22"/>
          <w:szCs w:val="22"/>
          <w:lang w:val="en-US"/>
        </w:rPr>
        <w:t>R</w:t>
      </w:r>
      <w:r w:rsidRPr="00F01390">
        <w:rPr>
          <w:rFonts w:ascii="Arial" w:hAnsi="Arial" w:cs="Arial"/>
          <w:b/>
          <w:sz w:val="22"/>
          <w:szCs w:val="22"/>
          <w:lang w:val="en-US"/>
        </w:rPr>
        <w:t xml:space="preserve">eview. </w:t>
      </w:r>
      <w:r w:rsidRPr="00F01390">
        <w:rPr>
          <w:rFonts w:ascii="Arial" w:hAnsi="Arial" w:cs="Arial"/>
          <w:sz w:val="22"/>
          <w:szCs w:val="22"/>
          <w:lang w:val="en-US"/>
        </w:rPr>
        <w:t>v</w:t>
      </w:r>
      <w:r w:rsidRPr="00F01390">
        <w:rPr>
          <w:rFonts w:ascii="Arial" w:hAnsi="Arial" w:cs="Arial"/>
          <w:color w:val="auto"/>
          <w:sz w:val="22"/>
          <w:szCs w:val="22"/>
          <w:lang w:val="en-US" w:eastAsia="ar-SA"/>
        </w:rPr>
        <w:t>. 60, p. 169-175, 2016.</w:t>
      </w:r>
    </w:p>
    <w:p w:rsidR="00925350" w:rsidRPr="00A716F1" w:rsidRDefault="00925350" w:rsidP="00A716F1">
      <w:pPr>
        <w:pStyle w:val="BodyTextIndent"/>
        <w:widowControl w:val="0"/>
        <w:spacing w:before="120"/>
        <w:ind w:firstLine="0"/>
        <w:rPr>
          <w:color w:val="000000"/>
          <w:sz w:val="22"/>
          <w:szCs w:val="22"/>
          <w:lang w:val="en-US"/>
        </w:rPr>
      </w:pPr>
      <w:r>
        <w:rPr>
          <w:color w:val="000000"/>
          <w:sz w:val="22"/>
          <w:szCs w:val="22"/>
          <w:lang w:val="en-US"/>
        </w:rPr>
        <w:t>KRIPPENDORFF,</w:t>
      </w:r>
      <w:r w:rsidRPr="00A716F1">
        <w:rPr>
          <w:color w:val="000000"/>
          <w:sz w:val="22"/>
          <w:szCs w:val="22"/>
          <w:lang w:val="en-US"/>
        </w:rPr>
        <w:t xml:space="preserve"> K. </w:t>
      </w:r>
      <w:r w:rsidRPr="00A716F1">
        <w:rPr>
          <w:b/>
          <w:color w:val="000000"/>
          <w:sz w:val="22"/>
          <w:szCs w:val="22"/>
          <w:lang w:val="en-US"/>
        </w:rPr>
        <w:t>Content analysis: an introduction to its methodology</w:t>
      </w:r>
      <w:r w:rsidRPr="00A716F1">
        <w:rPr>
          <w:color w:val="000000"/>
          <w:sz w:val="22"/>
          <w:szCs w:val="22"/>
          <w:lang w:val="en-US"/>
        </w:rPr>
        <w:t>. Thousand Oaks, CA: Sage.</w:t>
      </w:r>
      <w:r>
        <w:rPr>
          <w:color w:val="000000"/>
          <w:sz w:val="22"/>
          <w:szCs w:val="22"/>
          <w:lang w:val="en-US"/>
        </w:rPr>
        <w:t xml:space="preserve"> 2004.</w:t>
      </w:r>
    </w:p>
    <w:p w:rsidR="00925350" w:rsidRPr="00AE3350" w:rsidRDefault="00925350" w:rsidP="00FD09C4">
      <w:pPr>
        <w:pStyle w:val="BodyTextIndent"/>
        <w:widowControl w:val="0"/>
        <w:spacing w:before="120"/>
        <w:ind w:firstLine="0"/>
        <w:rPr>
          <w:rFonts w:cs="Arial"/>
          <w:sz w:val="22"/>
          <w:szCs w:val="22"/>
          <w:lang w:val="en-US"/>
        </w:rPr>
      </w:pPr>
      <w:r w:rsidRPr="00AE3350">
        <w:rPr>
          <w:rFonts w:cs="Arial"/>
          <w:sz w:val="22"/>
          <w:szCs w:val="22"/>
          <w:lang w:val="en-US"/>
        </w:rPr>
        <w:t>LANDIM, S.N.T.</w:t>
      </w:r>
      <w:r>
        <w:rPr>
          <w:rFonts w:cs="Arial"/>
          <w:sz w:val="22"/>
          <w:szCs w:val="22"/>
          <w:lang w:val="en-US"/>
        </w:rPr>
        <w:t>;</w:t>
      </w:r>
      <w:r w:rsidRPr="00AE3350">
        <w:rPr>
          <w:rFonts w:cs="Arial"/>
          <w:sz w:val="22"/>
          <w:szCs w:val="22"/>
          <w:lang w:val="en-US"/>
        </w:rPr>
        <w:t xml:space="preserve"> SÁNCHEZ, L.E. The contents and scope of environmental impact statements: how do they evolve over time? </w:t>
      </w:r>
      <w:r w:rsidRPr="00AE3350">
        <w:rPr>
          <w:rFonts w:cs="Arial"/>
          <w:b/>
          <w:sz w:val="22"/>
          <w:szCs w:val="22"/>
          <w:lang w:val="en-US"/>
        </w:rPr>
        <w:t>Impact Assessment and Project Appraisal</w:t>
      </w:r>
      <w:r w:rsidRPr="00AE3350">
        <w:rPr>
          <w:rFonts w:cs="Arial"/>
          <w:sz w:val="22"/>
          <w:szCs w:val="22"/>
          <w:lang w:val="en-US"/>
        </w:rPr>
        <w:t>. V. 30, n. 4, pp. 217-228. 2012.</w:t>
      </w:r>
    </w:p>
    <w:p w:rsidR="00925350" w:rsidRPr="00AE3350" w:rsidRDefault="00925350" w:rsidP="00FD09C4">
      <w:pPr>
        <w:pStyle w:val="BodyTextIndent"/>
        <w:widowControl w:val="0"/>
        <w:spacing w:before="120"/>
        <w:ind w:firstLine="0"/>
        <w:rPr>
          <w:rFonts w:cs="Arial"/>
          <w:sz w:val="22"/>
          <w:szCs w:val="22"/>
          <w:lang w:val="en-US"/>
        </w:rPr>
      </w:pPr>
      <w:r w:rsidRPr="00AE3350">
        <w:rPr>
          <w:rFonts w:cs="Arial"/>
          <w:sz w:val="22"/>
          <w:szCs w:val="22"/>
          <w:lang w:val="en-US"/>
        </w:rPr>
        <w:t xml:space="preserve">LEE N., COLLEY R., BONDE J., SIMPSON J. Reviewing the quality of environmental statements. </w:t>
      </w:r>
      <w:r w:rsidRPr="00A808B5">
        <w:rPr>
          <w:rFonts w:cs="Arial"/>
          <w:b/>
          <w:sz w:val="22"/>
          <w:szCs w:val="22"/>
          <w:lang w:val="en-US"/>
        </w:rPr>
        <w:t>Occasional Paper</w:t>
      </w:r>
      <w:r w:rsidRPr="00AE3350">
        <w:rPr>
          <w:rFonts w:cs="Arial"/>
          <w:sz w:val="22"/>
          <w:szCs w:val="22"/>
          <w:lang w:val="en-US"/>
        </w:rPr>
        <w:t xml:space="preserve"> 55. Department of Planning and Landscape, University of Manchester</w:t>
      </w:r>
      <w:r>
        <w:rPr>
          <w:rFonts w:cs="Arial"/>
          <w:sz w:val="22"/>
          <w:szCs w:val="22"/>
          <w:lang w:val="en-US"/>
        </w:rPr>
        <w:t>.</w:t>
      </w:r>
      <w:r w:rsidRPr="00AE3350">
        <w:rPr>
          <w:rFonts w:cs="Arial"/>
          <w:sz w:val="22"/>
          <w:szCs w:val="22"/>
          <w:lang w:val="en-US"/>
        </w:rPr>
        <w:t>1999.</w:t>
      </w:r>
    </w:p>
    <w:p w:rsidR="00925350" w:rsidRPr="00AE3350" w:rsidRDefault="00925350" w:rsidP="00FD09C4">
      <w:pPr>
        <w:pStyle w:val="BodyTextIndent"/>
        <w:widowControl w:val="0"/>
        <w:spacing w:before="120"/>
        <w:ind w:firstLine="0"/>
        <w:rPr>
          <w:rFonts w:cs="Arial"/>
          <w:sz w:val="22"/>
          <w:szCs w:val="22"/>
          <w:lang w:val="en-US"/>
        </w:rPr>
      </w:pPr>
      <w:r w:rsidRPr="00A80E9E">
        <w:rPr>
          <w:rFonts w:cs="Arial"/>
          <w:sz w:val="22"/>
          <w:szCs w:val="22"/>
          <w:lang w:val="en-US"/>
        </w:rPr>
        <w:t xml:space="preserve">MORGAN, R.K. </w:t>
      </w:r>
      <w:r w:rsidRPr="00A80E9E">
        <w:rPr>
          <w:rFonts w:cs="Arial"/>
          <w:b/>
          <w:sz w:val="22"/>
          <w:szCs w:val="22"/>
          <w:lang w:val="en-US"/>
        </w:rPr>
        <w:t>Environmental im</w:t>
      </w:r>
      <w:bookmarkStart w:id="0" w:name="_GoBack"/>
      <w:bookmarkEnd w:id="0"/>
      <w:r w:rsidRPr="00A80E9E">
        <w:rPr>
          <w:rFonts w:cs="Arial"/>
          <w:b/>
          <w:sz w:val="22"/>
          <w:szCs w:val="22"/>
          <w:lang w:val="en-US"/>
        </w:rPr>
        <w:t>pact assessment: a methodological perspective</w:t>
      </w:r>
      <w:r w:rsidRPr="00A80E9E">
        <w:rPr>
          <w:rFonts w:cs="Arial"/>
          <w:sz w:val="22"/>
          <w:szCs w:val="22"/>
          <w:lang w:val="en-US"/>
        </w:rPr>
        <w:t xml:space="preserve">. </w:t>
      </w:r>
      <w:r w:rsidRPr="00AE3350">
        <w:rPr>
          <w:rFonts w:cs="Arial"/>
          <w:sz w:val="22"/>
          <w:szCs w:val="22"/>
          <w:lang w:val="en-US"/>
        </w:rPr>
        <w:t>Dordrecht: Kluwer Academic. 1998.</w:t>
      </w:r>
    </w:p>
    <w:p w:rsidR="00925350" w:rsidRPr="00AE3350" w:rsidRDefault="00925350" w:rsidP="00FD09C4">
      <w:pPr>
        <w:pStyle w:val="BodyTextIndent"/>
        <w:widowControl w:val="0"/>
        <w:spacing w:before="120"/>
        <w:ind w:firstLine="0"/>
        <w:rPr>
          <w:rFonts w:cs="Arial"/>
          <w:sz w:val="22"/>
          <w:szCs w:val="22"/>
        </w:rPr>
      </w:pPr>
      <w:r w:rsidRPr="00AE3350">
        <w:rPr>
          <w:rFonts w:cs="Arial"/>
          <w:sz w:val="22"/>
          <w:szCs w:val="22"/>
          <w:lang w:val="en-US"/>
        </w:rPr>
        <w:t xml:space="preserve">MORGAN, R.K. Environmental impact assessment: the state of the art. </w:t>
      </w:r>
      <w:r w:rsidRPr="00AE3350">
        <w:rPr>
          <w:rFonts w:cs="Arial"/>
          <w:b/>
          <w:sz w:val="22"/>
          <w:szCs w:val="22"/>
        </w:rPr>
        <w:t>Impact Assessment and Project Appraisal</w:t>
      </w:r>
      <w:r w:rsidRPr="00AE3350">
        <w:rPr>
          <w:rFonts w:cs="Arial"/>
          <w:sz w:val="22"/>
          <w:szCs w:val="22"/>
        </w:rPr>
        <w:t>, v. 30, n. 1, p. 5-14, 2012.</w:t>
      </w:r>
    </w:p>
    <w:p w:rsidR="00925350" w:rsidRDefault="00925350" w:rsidP="00221433">
      <w:pPr>
        <w:pStyle w:val="BodyTextIndent"/>
        <w:widowControl w:val="0"/>
        <w:spacing w:before="120"/>
        <w:ind w:firstLine="0"/>
        <w:rPr>
          <w:rFonts w:cs="Arial"/>
          <w:sz w:val="22"/>
          <w:szCs w:val="22"/>
        </w:rPr>
      </w:pPr>
      <w:r w:rsidRPr="00AE3350">
        <w:rPr>
          <w:rFonts w:cs="Arial"/>
          <w:sz w:val="22"/>
          <w:szCs w:val="22"/>
        </w:rPr>
        <w:t xml:space="preserve">SÁNCHEZ, L. E. </w:t>
      </w:r>
      <w:r w:rsidRPr="00AE3350">
        <w:rPr>
          <w:rFonts w:cs="Arial"/>
          <w:b/>
          <w:sz w:val="22"/>
          <w:szCs w:val="22"/>
        </w:rPr>
        <w:t>Avaliação de impacto ambiental</w:t>
      </w:r>
      <w:r w:rsidRPr="00AE3350">
        <w:rPr>
          <w:rFonts w:cs="Arial"/>
          <w:sz w:val="22"/>
          <w:szCs w:val="22"/>
        </w:rPr>
        <w:t>: conceitos e métodos. 2</w:t>
      </w:r>
      <w:r>
        <w:rPr>
          <w:rFonts w:cs="Arial"/>
          <w:sz w:val="22"/>
          <w:szCs w:val="22"/>
        </w:rPr>
        <w:t>nd</w:t>
      </w:r>
      <w:r w:rsidRPr="00AE3350">
        <w:rPr>
          <w:rFonts w:cs="Arial"/>
          <w:sz w:val="22"/>
          <w:szCs w:val="22"/>
        </w:rPr>
        <w:t xml:space="preserve"> ed. Oficina de Textos, 20</w:t>
      </w:r>
      <w:r>
        <w:rPr>
          <w:rFonts w:cs="Arial"/>
          <w:sz w:val="22"/>
          <w:szCs w:val="22"/>
        </w:rPr>
        <w:t>13</w:t>
      </w:r>
      <w:r w:rsidRPr="00AE3350">
        <w:rPr>
          <w:rFonts w:cs="Arial"/>
          <w:sz w:val="22"/>
          <w:szCs w:val="22"/>
        </w:rPr>
        <w:t>.</w:t>
      </w:r>
    </w:p>
    <w:p w:rsidR="00925350" w:rsidRPr="00247ACA" w:rsidRDefault="00925350" w:rsidP="00F01390">
      <w:pPr>
        <w:pStyle w:val="BodyTextIndent"/>
        <w:widowControl w:val="0"/>
        <w:spacing w:before="120"/>
        <w:ind w:firstLine="0"/>
        <w:rPr>
          <w:rFonts w:ascii="Times New Roman" w:hAnsi="Times New Roman"/>
          <w:szCs w:val="24"/>
          <w:highlight w:val="yellow"/>
          <w:lang w:val="en-US"/>
        </w:rPr>
      </w:pPr>
      <w:r w:rsidRPr="00F01390">
        <w:rPr>
          <w:rFonts w:cs="Arial"/>
          <w:sz w:val="22"/>
          <w:szCs w:val="22"/>
          <w:lang w:val="en-US"/>
        </w:rPr>
        <w:t>STEINEMANN, A. Improving alternatives for impact assessment.</w:t>
      </w:r>
      <w:r>
        <w:rPr>
          <w:rFonts w:cs="Arial"/>
          <w:sz w:val="22"/>
          <w:szCs w:val="22"/>
          <w:lang w:val="en-US"/>
        </w:rPr>
        <w:t xml:space="preserve"> </w:t>
      </w:r>
      <w:r w:rsidRPr="00F01390">
        <w:rPr>
          <w:rFonts w:cs="Arial"/>
          <w:b/>
          <w:sz w:val="22"/>
          <w:szCs w:val="22"/>
          <w:lang w:val="en-US"/>
        </w:rPr>
        <w:t xml:space="preserve">Environmental impact </w:t>
      </w:r>
      <w:r>
        <w:rPr>
          <w:rFonts w:cs="Arial"/>
          <w:b/>
          <w:sz w:val="22"/>
          <w:szCs w:val="22"/>
          <w:lang w:val="en-US"/>
        </w:rPr>
        <w:t>A</w:t>
      </w:r>
      <w:r w:rsidRPr="00F01390">
        <w:rPr>
          <w:rFonts w:cs="Arial"/>
          <w:b/>
          <w:sz w:val="22"/>
          <w:szCs w:val="22"/>
          <w:lang w:val="en-US"/>
        </w:rPr>
        <w:t xml:space="preserve">ssessment </w:t>
      </w:r>
      <w:r>
        <w:rPr>
          <w:rFonts w:cs="Arial"/>
          <w:b/>
          <w:sz w:val="22"/>
          <w:szCs w:val="22"/>
          <w:lang w:val="en-US"/>
        </w:rPr>
        <w:t>R</w:t>
      </w:r>
      <w:r w:rsidRPr="00F01390">
        <w:rPr>
          <w:rFonts w:cs="Arial"/>
          <w:b/>
          <w:sz w:val="22"/>
          <w:szCs w:val="22"/>
          <w:lang w:val="en-US"/>
        </w:rPr>
        <w:t>eview.</w:t>
      </w:r>
      <w:r>
        <w:rPr>
          <w:rFonts w:cs="Arial"/>
          <w:b/>
          <w:sz w:val="22"/>
          <w:szCs w:val="22"/>
          <w:lang w:val="en-US"/>
        </w:rPr>
        <w:t xml:space="preserve"> </w:t>
      </w:r>
      <w:r w:rsidRPr="00F01390">
        <w:rPr>
          <w:rFonts w:cs="Arial"/>
          <w:sz w:val="22"/>
          <w:szCs w:val="22"/>
          <w:lang w:val="en-US"/>
        </w:rPr>
        <w:t>v. 21, p. 3-21, 2001.</w:t>
      </w:r>
    </w:p>
    <w:sectPr w:rsidR="00925350" w:rsidRPr="00247ACA" w:rsidSect="003C54A9">
      <w:headerReference w:type="default" r:id="rId8"/>
      <w:pgSz w:w="11907" w:h="16839"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50" w:rsidRDefault="00925350" w:rsidP="00661E67">
      <w:pPr>
        <w:spacing w:after="0" w:line="240" w:lineRule="auto"/>
      </w:pPr>
      <w:r>
        <w:separator/>
      </w:r>
    </w:p>
  </w:endnote>
  <w:endnote w:type="continuationSeparator" w:id="0">
    <w:p w:rsidR="00925350" w:rsidRDefault="00925350" w:rsidP="00661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50" w:rsidRDefault="00925350" w:rsidP="00661E67">
      <w:pPr>
        <w:spacing w:after="0" w:line="240" w:lineRule="auto"/>
      </w:pPr>
      <w:r>
        <w:separator/>
      </w:r>
    </w:p>
  </w:footnote>
  <w:footnote w:type="continuationSeparator" w:id="0">
    <w:p w:rsidR="00925350" w:rsidRDefault="00925350" w:rsidP="00661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50" w:rsidRPr="007432FA" w:rsidRDefault="00925350">
    <w:pPr>
      <w:pStyle w:val="Header"/>
      <w:jc w:val="right"/>
      <w:rPr>
        <w:rFonts w:ascii="Arial" w:hAnsi="Arial" w:cs="Arial"/>
        <w:sz w:val="24"/>
        <w:szCs w:val="24"/>
      </w:rPr>
    </w:pPr>
    <w:r w:rsidRPr="007432FA">
      <w:rPr>
        <w:rFonts w:ascii="Arial" w:hAnsi="Arial" w:cs="Arial"/>
        <w:sz w:val="24"/>
        <w:szCs w:val="24"/>
      </w:rPr>
      <w:fldChar w:fldCharType="begin"/>
    </w:r>
    <w:r w:rsidRPr="007432FA">
      <w:rPr>
        <w:rFonts w:ascii="Arial" w:hAnsi="Arial" w:cs="Arial"/>
        <w:sz w:val="24"/>
        <w:szCs w:val="24"/>
      </w:rPr>
      <w:instrText xml:space="preserve"> PAGE   \* MERGEFORMAT </w:instrText>
    </w:r>
    <w:r w:rsidRPr="007432FA">
      <w:rPr>
        <w:rFonts w:ascii="Arial" w:hAnsi="Arial" w:cs="Arial"/>
        <w:sz w:val="24"/>
        <w:szCs w:val="24"/>
      </w:rPr>
      <w:fldChar w:fldCharType="separate"/>
    </w:r>
    <w:r>
      <w:rPr>
        <w:rFonts w:ascii="Arial" w:hAnsi="Arial" w:cs="Arial"/>
        <w:noProof/>
        <w:sz w:val="24"/>
        <w:szCs w:val="24"/>
      </w:rPr>
      <w:t>1</w:t>
    </w:r>
    <w:r w:rsidRPr="007432FA">
      <w:rPr>
        <w:rFonts w:ascii="Arial" w:hAnsi="Arial" w:cs="Arial"/>
        <w:sz w:val="24"/>
        <w:szCs w:val="24"/>
      </w:rPr>
      <w:fldChar w:fldCharType="end"/>
    </w:r>
  </w:p>
  <w:p w:rsidR="00925350" w:rsidRDefault="009253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52D"/>
    <w:multiLevelType w:val="hybridMultilevel"/>
    <w:tmpl w:val="B85AC228"/>
    <w:lvl w:ilvl="0" w:tplc="FDDA3CA6">
      <w:start w:val="1"/>
      <w:numFmt w:val="bullet"/>
      <w:lvlText w:val="•"/>
      <w:lvlJc w:val="left"/>
      <w:pPr>
        <w:tabs>
          <w:tab w:val="num" w:pos="720"/>
        </w:tabs>
        <w:ind w:left="720" w:hanging="360"/>
      </w:pPr>
      <w:rPr>
        <w:rFonts w:ascii="Arial" w:hAnsi="Arial" w:hint="default"/>
      </w:rPr>
    </w:lvl>
    <w:lvl w:ilvl="1" w:tplc="FB2C7CA0" w:tentative="1">
      <w:start w:val="1"/>
      <w:numFmt w:val="bullet"/>
      <w:lvlText w:val="•"/>
      <w:lvlJc w:val="left"/>
      <w:pPr>
        <w:tabs>
          <w:tab w:val="num" w:pos="1440"/>
        </w:tabs>
        <w:ind w:left="1440" w:hanging="360"/>
      </w:pPr>
      <w:rPr>
        <w:rFonts w:ascii="Arial" w:hAnsi="Arial" w:hint="default"/>
      </w:rPr>
    </w:lvl>
    <w:lvl w:ilvl="2" w:tplc="7C8EF672">
      <w:start w:val="930"/>
      <w:numFmt w:val="bullet"/>
      <w:lvlText w:val="•"/>
      <w:lvlJc w:val="left"/>
      <w:pPr>
        <w:tabs>
          <w:tab w:val="num" w:pos="2160"/>
        </w:tabs>
        <w:ind w:left="2160" w:hanging="360"/>
      </w:pPr>
      <w:rPr>
        <w:rFonts w:ascii="Arial" w:hAnsi="Arial" w:hint="default"/>
      </w:rPr>
    </w:lvl>
    <w:lvl w:ilvl="3" w:tplc="0ED8C788" w:tentative="1">
      <w:start w:val="1"/>
      <w:numFmt w:val="bullet"/>
      <w:lvlText w:val="•"/>
      <w:lvlJc w:val="left"/>
      <w:pPr>
        <w:tabs>
          <w:tab w:val="num" w:pos="2880"/>
        </w:tabs>
        <w:ind w:left="2880" w:hanging="360"/>
      </w:pPr>
      <w:rPr>
        <w:rFonts w:ascii="Arial" w:hAnsi="Arial" w:hint="default"/>
      </w:rPr>
    </w:lvl>
    <w:lvl w:ilvl="4" w:tplc="599898D6" w:tentative="1">
      <w:start w:val="1"/>
      <w:numFmt w:val="bullet"/>
      <w:lvlText w:val="•"/>
      <w:lvlJc w:val="left"/>
      <w:pPr>
        <w:tabs>
          <w:tab w:val="num" w:pos="3600"/>
        </w:tabs>
        <w:ind w:left="3600" w:hanging="360"/>
      </w:pPr>
      <w:rPr>
        <w:rFonts w:ascii="Arial" w:hAnsi="Arial" w:hint="default"/>
      </w:rPr>
    </w:lvl>
    <w:lvl w:ilvl="5" w:tplc="F72010CA" w:tentative="1">
      <w:start w:val="1"/>
      <w:numFmt w:val="bullet"/>
      <w:lvlText w:val="•"/>
      <w:lvlJc w:val="left"/>
      <w:pPr>
        <w:tabs>
          <w:tab w:val="num" w:pos="4320"/>
        </w:tabs>
        <w:ind w:left="4320" w:hanging="360"/>
      </w:pPr>
      <w:rPr>
        <w:rFonts w:ascii="Arial" w:hAnsi="Arial" w:hint="default"/>
      </w:rPr>
    </w:lvl>
    <w:lvl w:ilvl="6" w:tplc="8CB6B336" w:tentative="1">
      <w:start w:val="1"/>
      <w:numFmt w:val="bullet"/>
      <w:lvlText w:val="•"/>
      <w:lvlJc w:val="left"/>
      <w:pPr>
        <w:tabs>
          <w:tab w:val="num" w:pos="5040"/>
        </w:tabs>
        <w:ind w:left="5040" w:hanging="360"/>
      </w:pPr>
      <w:rPr>
        <w:rFonts w:ascii="Arial" w:hAnsi="Arial" w:hint="default"/>
      </w:rPr>
    </w:lvl>
    <w:lvl w:ilvl="7" w:tplc="C6541BA2" w:tentative="1">
      <w:start w:val="1"/>
      <w:numFmt w:val="bullet"/>
      <w:lvlText w:val="•"/>
      <w:lvlJc w:val="left"/>
      <w:pPr>
        <w:tabs>
          <w:tab w:val="num" w:pos="5760"/>
        </w:tabs>
        <w:ind w:left="5760" w:hanging="360"/>
      </w:pPr>
      <w:rPr>
        <w:rFonts w:ascii="Arial" w:hAnsi="Arial" w:hint="default"/>
      </w:rPr>
    </w:lvl>
    <w:lvl w:ilvl="8" w:tplc="992A6A10" w:tentative="1">
      <w:start w:val="1"/>
      <w:numFmt w:val="bullet"/>
      <w:lvlText w:val="•"/>
      <w:lvlJc w:val="left"/>
      <w:pPr>
        <w:tabs>
          <w:tab w:val="num" w:pos="6480"/>
        </w:tabs>
        <w:ind w:left="6480" w:hanging="360"/>
      </w:pPr>
      <w:rPr>
        <w:rFonts w:ascii="Arial" w:hAnsi="Arial" w:hint="default"/>
      </w:rPr>
    </w:lvl>
  </w:abstractNum>
  <w:abstractNum w:abstractNumId="1">
    <w:nsid w:val="0651784B"/>
    <w:multiLevelType w:val="hybridMultilevel"/>
    <w:tmpl w:val="5BD8EC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7A70FE6"/>
    <w:multiLevelType w:val="multilevel"/>
    <w:tmpl w:val="459E13A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213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ABB2725"/>
    <w:multiLevelType w:val="hybridMultilevel"/>
    <w:tmpl w:val="F65CE3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1EA312D0"/>
    <w:multiLevelType w:val="hybridMultilevel"/>
    <w:tmpl w:val="B1C66652"/>
    <w:lvl w:ilvl="0" w:tplc="1130B412">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5">
    <w:nsid w:val="1ED75D07"/>
    <w:multiLevelType w:val="hybridMultilevel"/>
    <w:tmpl w:val="594649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8EF785B"/>
    <w:multiLevelType w:val="hybridMultilevel"/>
    <w:tmpl w:val="2EBC5626"/>
    <w:lvl w:ilvl="0" w:tplc="56BCD02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D0D6745"/>
    <w:multiLevelType w:val="multilevel"/>
    <w:tmpl w:val="2910B1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5DA0C4A"/>
    <w:multiLevelType w:val="hybridMultilevel"/>
    <w:tmpl w:val="34D8C61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9">
    <w:nsid w:val="613C7816"/>
    <w:multiLevelType w:val="hybridMultilevel"/>
    <w:tmpl w:val="72B0578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6E8E1494"/>
    <w:multiLevelType w:val="hybridMultilevel"/>
    <w:tmpl w:val="53E4A6F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7"/>
  </w:num>
  <w:num w:numId="7">
    <w:abstractNumId w:val="10"/>
  </w:num>
  <w:num w:numId="8">
    <w:abstractNumId w:val="9"/>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8D5"/>
    <w:rsid w:val="00001DF1"/>
    <w:rsid w:val="000029EF"/>
    <w:rsid w:val="00004A3F"/>
    <w:rsid w:val="00006E30"/>
    <w:rsid w:val="00011FA7"/>
    <w:rsid w:val="00012739"/>
    <w:rsid w:val="00013B06"/>
    <w:rsid w:val="00020441"/>
    <w:rsid w:val="00024CF0"/>
    <w:rsid w:val="00025060"/>
    <w:rsid w:val="00025254"/>
    <w:rsid w:val="00027697"/>
    <w:rsid w:val="000318FF"/>
    <w:rsid w:val="00032DE3"/>
    <w:rsid w:val="00033317"/>
    <w:rsid w:val="00033B57"/>
    <w:rsid w:val="00036435"/>
    <w:rsid w:val="00036A55"/>
    <w:rsid w:val="00040BE7"/>
    <w:rsid w:val="00047801"/>
    <w:rsid w:val="00057F71"/>
    <w:rsid w:val="00061EA9"/>
    <w:rsid w:val="000678D6"/>
    <w:rsid w:val="000679BF"/>
    <w:rsid w:val="00074BE3"/>
    <w:rsid w:val="00074C73"/>
    <w:rsid w:val="00075CEC"/>
    <w:rsid w:val="00075ECE"/>
    <w:rsid w:val="0007671B"/>
    <w:rsid w:val="00080661"/>
    <w:rsid w:val="0008097D"/>
    <w:rsid w:val="00080C2E"/>
    <w:rsid w:val="00083FFA"/>
    <w:rsid w:val="0008498E"/>
    <w:rsid w:val="00087240"/>
    <w:rsid w:val="00090803"/>
    <w:rsid w:val="000930DF"/>
    <w:rsid w:val="000934E5"/>
    <w:rsid w:val="000941C8"/>
    <w:rsid w:val="00094BCA"/>
    <w:rsid w:val="00094CFE"/>
    <w:rsid w:val="0009500A"/>
    <w:rsid w:val="0009691F"/>
    <w:rsid w:val="00096C89"/>
    <w:rsid w:val="000A1460"/>
    <w:rsid w:val="000A288D"/>
    <w:rsid w:val="000A2FD1"/>
    <w:rsid w:val="000A525A"/>
    <w:rsid w:val="000A5CB3"/>
    <w:rsid w:val="000A6063"/>
    <w:rsid w:val="000B02F7"/>
    <w:rsid w:val="000B0F2F"/>
    <w:rsid w:val="000B1D52"/>
    <w:rsid w:val="000B2E7B"/>
    <w:rsid w:val="000B7180"/>
    <w:rsid w:val="000B76ED"/>
    <w:rsid w:val="000C0757"/>
    <w:rsid w:val="000C2671"/>
    <w:rsid w:val="000C3F47"/>
    <w:rsid w:val="000C5700"/>
    <w:rsid w:val="000C5E56"/>
    <w:rsid w:val="000C73F4"/>
    <w:rsid w:val="000C786C"/>
    <w:rsid w:val="000D0909"/>
    <w:rsid w:val="000D1B13"/>
    <w:rsid w:val="000D4851"/>
    <w:rsid w:val="000D53BB"/>
    <w:rsid w:val="000D55DA"/>
    <w:rsid w:val="000D6CDC"/>
    <w:rsid w:val="000D7FBE"/>
    <w:rsid w:val="000E2CE1"/>
    <w:rsid w:val="000E43B1"/>
    <w:rsid w:val="000E556D"/>
    <w:rsid w:val="000E5EEE"/>
    <w:rsid w:val="000E7D86"/>
    <w:rsid w:val="000F1683"/>
    <w:rsid w:val="000F2EA6"/>
    <w:rsid w:val="000F5090"/>
    <w:rsid w:val="000F7FFE"/>
    <w:rsid w:val="00100927"/>
    <w:rsid w:val="0010278A"/>
    <w:rsid w:val="0010416E"/>
    <w:rsid w:val="00106283"/>
    <w:rsid w:val="00113397"/>
    <w:rsid w:val="001153BF"/>
    <w:rsid w:val="00115873"/>
    <w:rsid w:val="001165EB"/>
    <w:rsid w:val="0012001A"/>
    <w:rsid w:val="00121117"/>
    <w:rsid w:val="00122C4D"/>
    <w:rsid w:val="00122EAB"/>
    <w:rsid w:val="0012325F"/>
    <w:rsid w:val="00123790"/>
    <w:rsid w:val="00125066"/>
    <w:rsid w:val="0012519E"/>
    <w:rsid w:val="001256ED"/>
    <w:rsid w:val="001259C4"/>
    <w:rsid w:val="00125FF9"/>
    <w:rsid w:val="0012770D"/>
    <w:rsid w:val="001306D2"/>
    <w:rsid w:val="001323BE"/>
    <w:rsid w:val="00132759"/>
    <w:rsid w:val="00133837"/>
    <w:rsid w:val="00135219"/>
    <w:rsid w:val="00140438"/>
    <w:rsid w:val="00142CF1"/>
    <w:rsid w:val="00142D06"/>
    <w:rsid w:val="001435B7"/>
    <w:rsid w:val="00150589"/>
    <w:rsid w:val="001517EA"/>
    <w:rsid w:val="00152095"/>
    <w:rsid w:val="00153F84"/>
    <w:rsid w:val="00155853"/>
    <w:rsid w:val="00155958"/>
    <w:rsid w:val="0015695D"/>
    <w:rsid w:val="00157038"/>
    <w:rsid w:val="00160597"/>
    <w:rsid w:val="001613F3"/>
    <w:rsid w:val="00161CDC"/>
    <w:rsid w:val="00162C08"/>
    <w:rsid w:val="00166086"/>
    <w:rsid w:val="001727B6"/>
    <w:rsid w:val="001737A4"/>
    <w:rsid w:val="00173B5F"/>
    <w:rsid w:val="00175F97"/>
    <w:rsid w:val="00180791"/>
    <w:rsid w:val="001851E9"/>
    <w:rsid w:val="00185A53"/>
    <w:rsid w:val="0018607B"/>
    <w:rsid w:val="00192036"/>
    <w:rsid w:val="00193DD6"/>
    <w:rsid w:val="0019605B"/>
    <w:rsid w:val="001A0943"/>
    <w:rsid w:val="001A2D7D"/>
    <w:rsid w:val="001A2F16"/>
    <w:rsid w:val="001A7154"/>
    <w:rsid w:val="001A7AAE"/>
    <w:rsid w:val="001B349E"/>
    <w:rsid w:val="001B5099"/>
    <w:rsid w:val="001B64D6"/>
    <w:rsid w:val="001B65CC"/>
    <w:rsid w:val="001C03B4"/>
    <w:rsid w:val="001C05D3"/>
    <w:rsid w:val="001C2AB2"/>
    <w:rsid w:val="001C3708"/>
    <w:rsid w:val="001C48D9"/>
    <w:rsid w:val="001C5FF1"/>
    <w:rsid w:val="001C6533"/>
    <w:rsid w:val="001C79A7"/>
    <w:rsid w:val="001D22A5"/>
    <w:rsid w:val="001D251F"/>
    <w:rsid w:val="001D507E"/>
    <w:rsid w:val="001D551A"/>
    <w:rsid w:val="001D624D"/>
    <w:rsid w:val="001D7212"/>
    <w:rsid w:val="001D795E"/>
    <w:rsid w:val="001E20DF"/>
    <w:rsid w:val="001E23B4"/>
    <w:rsid w:val="001E2E5D"/>
    <w:rsid w:val="001E34E1"/>
    <w:rsid w:val="001E6F17"/>
    <w:rsid w:val="001E7187"/>
    <w:rsid w:val="001F160D"/>
    <w:rsid w:val="001F554A"/>
    <w:rsid w:val="001F562D"/>
    <w:rsid w:val="00200C62"/>
    <w:rsid w:val="0020211F"/>
    <w:rsid w:val="00202844"/>
    <w:rsid w:val="0020513F"/>
    <w:rsid w:val="0021092D"/>
    <w:rsid w:val="00212977"/>
    <w:rsid w:val="00215B22"/>
    <w:rsid w:val="00221433"/>
    <w:rsid w:val="00224756"/>
    <w:rsid w:val="002248A6"/>
    <w:rsid w:val="002248FA"/>
    <w:rsid w:val="00224C6A"/>
    <w:rsid w:val="00225764"/>
    <w:rsid w:val="00225B68"/>
    <w:rsid w:val="00231489"/>
    <w:rsid w:val="0023180F"/>
    <w:rsid w:val="002326CA"/>
    <w:rsid w:val="00235D26"/>
    <w:rsid w:val="00236211"/>
    <w:rsid w:val="00237011"/>
    <w:rsid w:val="00237EE0"/>
    <w:rsid w:val="002400A2"/>
    <w:rsid w:val="00242E5A"/>
    <w:rsid w:val="00244EF5"/>
    <w:rsid w:val="0024756E"/>
    <w:rsid w:val="00247ACA"/>
    <w:rsid w:val="002507BC"/>
    <w:rsid w:val="002517F8"/>
    <w:rsid w:val="002529FE"/>
    <w:rsid w:val="0026284C"/>
    <w:rsid w:val="002628B7"/>
    <w:rsid w:val="00264B87"/>
    <w:rsid w:val="00265728"/>
    <w:rsid w:val="00266267"/>
    <w:rsid w:val="00270D1E"/>
    <w:rsid w:val="00271779"/>
    <w:rsid w:val="00274703"/>
    <w:rsid w:val="00274C1E"/>
    <w:rsid w:val="00276B6A"/>
    <w:rsid w:val="0028087E"/>
    <w:rsid w:val="002810F9"/>
    <w:rsid w:val="0028111A"/>
    <w:rsid w:val="002842F8"/>
    <w:rsid w:val="002849D8"/>
    <w:rsid w:val="00284E1E"/>
    <w:rsid w:val="0029102D"/>
    <w:rsid w:val="00291BBD"/>
    <w:rsid w:val="00292E62"/>
    <w:rsid w:val="00294F42"/>
    <w:rsid w:val="00295595"/>
    <w:rsid w:val="00295AB7"/>
    <w:rsid w:val="00296D16"/>
    <w:rsid w:val="0029773C"/>
    <w:rsid w:val="002A2A13"/>
    <w:rsid w:val="002A2E75"/>
    <w:rsid w:val="002A384E"/>
    <w:rsid w:val="002A5C57"/>
    <w:rsid w:val="002A660B"/>
    <w:rsid w:val="002B1DA9"/>
    <w:rsid w:val="002B29A5"/>
    <w:rsid w:val="002B3886"/>
    <w:rsid w:val="002B3B48"/>
    <w:rsid w:val="002B4E8B"/>
    <w:rsid w:val="002B5CBE"/>
    <w:rsid w:val="002C0F2E"/>
    <w:rsid w:val="002C3A63"/>
    <w:rsid w:val="002C4EAA"/>
    <w:rsid w:val="002D0654"/>
    <w:rsid w:val="002D25FF"/>
    <w:rsid w:val="002D60DD"/>
    <w:rsid w:val="002D642E"/>
    <w:rsid w:val="002E0BA6"/>
    <w:rsid w:val="002E10C7"/>
    <w:rsid w:val="002E12A4"/>
    <w:rsid w:val="002E1522"/>
    <w:rsid w:val="002E421B"/>
    <w:rsid w:val="002E5309"/>
    <w:rsid w:val="002E7146"/>
    <w:rsid w:val="002E7870"/>
    <w:rsid w:val="002F03B8"/>
    <w:rsid w:val="002F0D4D"/>
    <w:rsid w:val="002F1569"/>
    <w:rsid w:val="00300927"/>
    <w:rsid w:val="00301121"/>
    <w:rsid w:val="003051D9"/>
    <w:rsid w:val="0030765D"/>
    <w:rsid w:val="00307CFC"/>
    <w:rsid w:val="003100A8"/>
    <w:rsid w:val="003103FA"/>
    <w:rsid w:val="003118B7"/>
    <w:rsid w:val="003124C1"/>
    <w:rsid w:val="00312945"/>
    <w:rsid w:val="00314C14"/>
    <w:rsid w:val="00315D18"/>
    <w:rsid w:val="003218C6"/>
    <w:rsid w:val="00322B74"/>
    <w:rsid w:val="003243BE"/>
    <w:rsid w:val="0032594B"/>
    <w:rsid w:val="00330694"/>
    <w:rsid w:val="003314E1"/>
    <w:rsid w:val="00331714"/>
    <w:rsid w:val="00331974"/>
    <w:rsid w:val="00332A87"/>
    <w:rsid w:val="003337E8"/>
    <w:rsid w:val="00334A62"/>
    <w:rsid w:val="003377BB"/>
    <w:rsid w:val="003450C8"/>
    <w:rsid w:val="00345164"/>
    <w:rsid w:val="0035538D"/>
    <w:rsid w:val="00355B08"/>
    <w:rsid w:val="00357FBD"/>
    <w:rsid w:val="00361207"/>
    <w:rsid w:val="00361927"/>
    <w:rsid w:val="00362637"/>
    <w:rsid w:val="00362A16"/>
    <w:rsid w:val="00365868"/>
    <w:rsid w:val="00367F4D"/>
    <w:rsid w:val="003703A0"/>
    <w:rsid w:val="003722F1"/>
    <w:rsid w:val="003724BA"/>
    <w:rsid w:val="00372C57"/>
    <w:rsid w:val="0037390C"/>
    <w:rsid w:val="00374B63"/>
    <w:rsid w:val="00374BBC"/>
    <w:rsid w:val="00374FFC"/>
    <w:rsid w:val="00377625"/>
    <w:rsid w:val="00377D60"/>
    <w:rsid w:val="00381C04"/>
    <w:rsid w:val="00381CD1"/>
    <w:rsid w:val="00383667"/>
    <w:rsid w:val="00392A89"/>
    <w:rsid w:val="00394A0D"/>
    <w:rsid w:val="00394EA1"/>
    <w:rsid w:val="00395539"/>
    <w:rsid w:val="003A08F4"/>
    <w:rsid w:val="003A19C4"/>
    <w:rsid w:val="003A1C6B"/>
    <w:rsid w:val="003A4E09"/>
    <w:rsid w:val="003A56E4"/>
    <w:rsid w:val="003A7277"/>
    <w:rsid w:val="003A7C38"/>
    <w:rsid w:val="003B5A13"/>
    <w:rsid w:val="003B7D7F"/>
    <w:rsid w:val="003C3994"/>
    <w:rsid w:val="003C46BF"/>
    <w:rsid w:val="003C47E2"/>
    <w:rsid w:val="003C54A9"/>
    <w:rsid w:val="003C5759"/>
    <w:rsid w:val="003C62EE"/>
    <w:rsid w:val="003D1F95"/>
    <w:rsid w:val="003D40B8"/>
    <w:rsid w:val="003D7F3B"/>
    <w:rsid w:val="003E2476"/>
    <w:rsid w:val="003E3515"/>
    <w:rsid w:val="003E3A10"/>
    <w:rsid w:val="003E475C"/>
    <w:rsid w:val="003E6616"/>
    <w:rsid w:val="003F01FD"/>
    <w:rsid w:val="003F0FFC"/>
    <w:rsid w:val="003F209F"/>
    <w:rsid w:val="003F2C9E"/>
    <w:rsid w:val="003F3704"/>
    <w:rsid w:val="003F3D76"/>
    <w:rsid w:val="003F4109"/>
    <w:rsid w:val="003F4D23"/>
    <w:rsid w:val="003F7F32"/>
    <w:rsid w:val="004001BA"/>
    <w:rsid w:val="00407230"/>
    <w:rsid w:val="00410136"/>
    <w:rsid w:val="00411996"/>
    <w:rsid w:val="00411E18"/>
    <w:rsid w:val="0041346D"/>
    <w:rsid w:val="004158FC"/>
    <w:rsid w:val="0042024E"/>
    <w:rsid w:val="00422EC0"/>
    <w:rsid w:val="0042442A"/>
    <w:rsid w:val="00424BFA"/>
    <w:rsid w:val="00427342"/>
    <w:rsid w:val="00427C35"/>
    <w:rsid w:val="00427F04"/>
    <w:rsid w:val="004308DD"/>
    <w:rsid w:val="00431440"/>
    <w:rsid w:val="0043463E"/>
    <w:rsid w:val="00434A61"/>
    <w:rsid w:val="004362BB"/>
    <w:rsid w:val="00437867"/>
    <w:rsid w:val="00440F24"/>
    <w:rsid w:val="00444B55"/>
    <w:rsid w:val="004464CF"/>
    <w:rsid w:val="00447657"/>
    <w:rsid w:val="0045161D"/>
    <w:rsid w:val="00452873"/>
    <w:rsid w:val="004529C8"/>
    <w:rsid w:val="00454E6C"/>
    <w:rsid w:val="00456F17"/>
    <w:rsid w:val="004570F4"/>
    <w:rsid w:val="0046229C"/>
    <w:rsid w:val="00465745"/>
    <w:rsid w:val="00470F60"/>
    <w:rsid w:val="00473B51"/>
    <w:rsid w:val="00474255"/>
    <w:rsid w:val="00474B33"/>
    <w:rsid w:val="00475D7A"/>
    <w:rsid w:val="004761AC"/>
    <w:rsid w:val="004762B3"/>
    <w:rsid w:val="0047749B"/>
    <w:rsid w:val="00477F4C"/>
    <w:rsid w:val="00480698"/>
    <w:rsid w:val="0048359F"/>
    <w:rsid w:val="00484E30"/>
    <w:rsid w:val="00486E27"/>
    <w:rsid w:val="00490063"/>
    <w:rsid w:val="00490B98"/>
    <w:rsid w:val="0049209B"/>
    <w:rsid w:val="0049249F"/>
    <w:rsid w:val="004928B9"/>
    <w:rsid w:val="00495E69"/>
    <w:rsid w:val="004A06AE"/>
    <w:rsid w:val="004A23AE"/>
    <w:rsid w:val="004A5D11"/>
    <w:rsid w:val="004A6F63"/>
    <w:rsid w:val="004A7465"/>
    <w:rsid w:val="004B02C7"/>
    <w:rsid w:val="004B5323"/>
    <w:rsid w:val="004B5849"/>
    <w:rsid w:val="004B7739"/>
    <w:rsid w:val="004B7A31"/>
    <w:rsid w:val="004C15E8"/>
    <w:rsid w:val="004C1892"/>
    <w:rsid w:val="004C4DD9"/>
    <w:rsid w:val="004C4E31"/>
    <w:rsid w:val="004D057F"/>
    <w:rsid w:val="004D0FE0"/>
    <w:rsid w:val="004D28B9"/>
    <w:rsid w:val="004D3CA5"/>
    <w:rsid w:val="004D43D1"/>
    <w:rsid w:val="004D60BE"/>
    <w:rsid w:val="004D7CD3"/>
    <w:rsid w:val="004E03F4"/>
    <w:rsid w:val="004E4B8F"/>
    <w:rsid w:val="004E6AAB"/>
    <w:rsid w:val="004F086C"/>
    <w:rsid w:val="004F0906"/>
    <w:rsid w:val="004F234F"/>
    <w:rsid w:val="004F518C"/>
    <w:rsid w:val="004F7A34"/>
    <w:rsid w:val="004F7FF8"/>
    <w:rsid w:val="00501152"/>
    <w:rsid w:val="00502A68"/>
    <w:rsid w:val="0050453A"/>
    <w:rsid w:val="0050501A"/>
    <w:rsid w:val="00505EEB"/>
    <w:rsid w:val="00506C96"/>
    <w:rsid w:val="005113BB"/>
    <w:rsid w:val="00511874"/>
    <w:rsid w:val="00514DCB"/>
    <w:rsid w:val="0051637E"/>
    <w:rsid w:val="005166EF"/>
    <w:rsid w:val="00523E2F"/>
    <w:rsid w:val="00526821"/>
    <w:rsid w:val="005326A1"/>
    <w:rsid w:val="00532B6E"/>
    <w:rsid w:val="00542CE4"/>
    <w:rsid w:val="00544225"/>
    <w:rsid w:val="00545BB4"/>
    <w:rsid w:val="00547901"/>
    <w:rsid w:val="00551023"/>
    <w:rsid w:val="00553D6E"/>
    <w:rsid w:val="00563A69"/>
    <w:rsid w:val="00564D31"/>
    <w:rsid w:val="00564DB4"/>
    <w:rsid w:val="00565E77"/>
    <w:rsid w:val="00570669"/>
    <w:rsid w:val="0057075F"/>
    <w:rsid w:val="005715B1"/>
    <w:rsid w:val="005771DE"/>
    <w:rsid w:val="00583DB3"/>
    <w:rsid w:val="0058492C"/>
    <w:rsid w:val="00585A75"/>
    <w:rsid w:val="005921E3"/>
    <w:rsid w:val="00593DF9"/>
    <w:rsid w:val="00593E6E"/>
    <w:rsid w:val="0059433E"/>
    <w:rsid w:val="00597F78"/>
    <w:rsid w:val="005A18CB"/>
    <w:rsid w:val="005A3B28"/>
    <w:rsid w:val="005A64CD"/>
    <w:rsid w:val="005B16C1"/>
    <w:rsid w:val="005B1C3B"/>
    <w:rsid w:val="005B2E7B"/>
    <w:rsid w:val="005B3B2D"/>
    <w:rsid w:val="005C326A"/>
    <w:rsid w:val="005C3AB6"/>
    <w:rsid w:val="005C5603"/>
    <w:rsid w:val="005C6367"/>
    <w:rsid w:val="005C6683"/>
    <w:rsid w:val="005C6B9F"/>
    <w:rsid w:val="005D0713"/>
    <w:rsid w:val="005D311C"/>
    <w:rsid w:val="005D7A38"/>
    <w:rsid w:val="005E00F2"/>
    <w:rsid w:val="005E056C"/>
    <w:rsid w:val="005E09A2"/>
    <w:rsid w:val="005E3D35"/>
    <w:rsid w:val="005E4E46"/>
    <w:rsid w:val="005E6608"/>
    <w:rsid w:val="005F182D"/>
    <w:rsid w:val="005F32CA"/>
    <w:rsid w:val="005F4BAD"/>
    <w:rsid w:val="005F775A"/>
    <w:rsid w:val="00600DBA"/>
    <w:rsid w:val="006011E6"/>
    <w:rsid w:val="00602604"/>
    <w:rsid w:val="00605990"/>
    <w:rsid w:val="006064E1"/>
    <w:rsid w:val="00606C89"/>
    <w:rsid w:val="0061355D"/>
    <w:rsid w:val="006204E0"/>
    <w:rsid w:val="00620FC5"/>
    <w:rsid w:val="006223E8"/>
    <w:rsid w:val="00623715"/>
    <w:rsid w:val="0062376E"/>
    <w:rsid w:val="00624BB7"/>
    <w:rsid w:val="00627C05"/>
    <w:rsid w:val="00630776"/>
    <w:rsid w:val="00632C41"/>
    <w:rsid w:val="006333CB"/>
    <w:rsid w:val="00635CD1"/>
    <w:rsid w:val="00636ADC"/>
    <w:rsid w:val="00636B59"/>
    <w:rsid w:val="006401D4"/>
    <w:rsid w:val="00642EE8"/>
    <w:rsid w:val="00651A97"/>
    <w:rsid w:val="006522C8"/>
    <w:rsid w:val="006533BA"/>
    <w:rsid w:val="00653ECE"/>
    <w:rsid w:val="00654154"/>
    <w:rsid w:val="0065692A"/>
    <w:rsid w:val="0065776E"/>
    <w:rsid w:val="00661E67"/>
    <w:rsid w:val="0066600F"/>
    <w:rsid w:val="00666962"/>
    <w:rsid w:val="00670ADE"/>
    <w:rsid w:val="00671D68"/>
    <w:rsid w:val="006778B8"/>
    <w:rsid w:val="00680665"/>
    <w:rsid w:val="00681716"/>
    <w:rsid w:val="00687391"/>
    <w:rsid w:val="00690F7F"/>
    <w:rsid w:val="00695E40"/>
    <w:rsid w:val="00697FFA"/>
    <w:rsid w:val="006A4A99"/>
    <w:rsid w:val="006A69CA"/>
    <w:rsid w:val="006B036A"/>
    <w:rsid w:val="006B047E"/>
    <w:rsid w:val="006B1C90"/>
    <w:rsid w:val="006B690D"/>
    <w:rsid w:val="006C11AC"/>
    <w:rsid w:val="006C1448"/>
    <w:rsid w:val="006C2446"/>
    <w:rsid w:val="006C6230"/>
    <w:rsid w:val="006D0014"/>
    <w:rsid w:val="006D4D07"/>
    <w:rsid w:val="006D5C99"/>
    <w:rsid w:val="006E1742"/>
    <w:rsid w:val="006E185D"/>
    <w:rsid w:val="006E6A2B"/>
    <w:rsid w:val="006E7FC9"/>
    <w:rsid w:val="006F0C02"/>
    <w:rsid w:val="006F13C5"/>
    <w:rsid w:val="006F1E72"/>
    <w:rsid w:val="006F4E31"/>
    <w:rsid w:val="006F5A49"/>
    <w:rsid w:val="006F5D1D"/>
    <w:rsid w:val="00702243"/>
    <w:rsid w:val="00710104"/>
    <w:rsid w:val="0071019C"/>
    <w:rsid w:val="007224AE"/>
    <w:rsid w:val="0072358D"/>
    <w:rsid w:val="00723AA3"/>
    <w:rsid w:val="00725A4F"/>
    <w:rsid w:val="0072622A"/>
    <w:rsid w:val="007300C4"/>
    <w:rsid w:val="00730AED"/>
    <w:rsid w:val="00731D88"/>
    <w:rsid w:val="00731E1E"/>
    <w:rsid w:val="00732B99"/>
    <w:rsid w:val="00735C4D"/>
    <w:rsid w:val="0073722A"/>
    <w:rsid w:val="007432FA"/>
    <w:rsid w:val="00744D80"/>
    <w:rsid w:val="007450C3"/>
    <w:rsid w:val="00746086"/>
    <w:rsid w:val="00746330"/>
    <w:rsid w:val="00750098"/>
    <w:rsid w:val="00751918"/>
    <w:rsid w:val="00753302"/>
    <w:rsid w:val="0075348F"/>
    <w:rsid w:val="00760233"/>
    <w:rsid w:val="00760C57"/>
    <w:rsid w:val="007630DD"/>
    <w:rsid w:val="007632DD"/>
    <w:rsid w:val="0076440B"/>
    <w:rsid w:val="00770942"/>
    <w:rsid w:val="0077224A"/>
    <w:rsid w:val="007736D1"/>
    <w:rsid w:val="00774D67"/>
    <w:rsid w:val="00776854"/>
    <w:rsid w:val="007813A4"/>
    <w:rsid w:val="00783928"/>
    <w:rsid w:val="007844A4"/>
    <w:rsid w:val="00785CED"/>
    <w:rsid w:val="0078727B"/>
    <w:rsid w:val="00787C17"/>
    <w:rsid w:val="0079142E"/>
    <w:rsid w:val="00793F10"/>
    <w:rsid w:val="007A1B8D"/>
    <w:rsid w:val="007A3ADC"/>
    <w:rsid w:val="007A3DA6"/>
    <w:rsid w:val="007A4347"/>
    <w:rsid w:val="007A6AEB"/>
    <w:rsid w:val="007A743C"/>
    <w:rsid w:val="007B095B"/>
    <w:rsid w:val="007B2543"/>
    <w:rsid w:val="007B4614"/>
    <w:rsid w:val="007B5196"/>
    <w:rsid w:val="007B6588"/>
    <w:rsid w:val="007C0942"/>
    <w:rsid w:val="007C2190"/>
    <w:rsid w:val="007C34E7"/>
    <w:rsid w:val="007C37CE"/>
    <w:rsid w:val="007C4589"/>
    <w:rsid w:val="007C4E7A"/>
    <w:rsid w:val="007C5D2A"/>
    <w:rsid w:val="007C6FD2"/>
    <w:rsid w:val="007C7392"/>
    <w:rsid w:val="007D112D"/>
    <w:rsid w:val="007D1668"/>
    <w:rsid w:val="007D3CB4"/>
    <w:rsid w:val="007D45CE"/>
    <w:rsid w:val="007D4F61"/>
    <w:rsid w:val="007D501E"/>
    <w:rsid w:val="007D5396"/>
    <w:rsid w:val="007D56F5"/>
    <w:rsid w:val="007D613C"/>
    <w:rsid w:val="007D61A3"/>
    <w:rsid w:val="007D731F"/>
    <w:rsid w:val="007D7877"/>
    <w:rsid w:val="007E41DD"/>
    <w:rsid w:val="007E4A6B"/>
    <w:rsid w:val="007E67E4"/>
    <w:rsid w:val="007E764B"/>
    <w:rsid w:val="007F038C"/>
    <w:rsid w:val="007F0563"/>
    <w:rsid w:val="007F3138"/>
    <w:rsid w:val="00800294"/>
    <w:rsid w:val="00800AF8"/>
    <w:rsid w:val="00801A7A"/>
    <w:rsid w:val="00802137"/>
    <w:rsid w:val="00802211"/>
    <w:rsid w:val="00802580"/>
    <w:rsid w:val="00802F15"/>
    <w:rsid w:val="00802FB9"/>
    <w:rsid w:val="008068D3"/>
    <w:rsid w:val="008068F9"/>
    <w:rsid w:val="008103F4"/>
    <w:rsid w:val="00811CBE"/>
    <w:rsid w:val="00812CDB"/>
    <w:rsid w:val="0081444A"/>
    <w:rsid w:val="00817055"/>
    <w:rsid w:val="0081799F"/>
    <w:rsid w:val="0082319B"/>
    <w:rsid w:val="00826038"/>
    <w:rsid w:val="00826AF5"/>
    <w:rsid w:val="00827F5A"/>
    <w:rsid w:val="008315B2"/>
    <w:rsid w:val="00833A4C"/>
    <w:rsid w:val="00834B68"/>
    <w:rsid w:val="0083677C"/>
    <w:rsid w:val="008417E4"/>
    <w:rsid w:val="00843D61"/>
    <w:rsid w:val="00847833"/>
    <w:rsid w:val="008523D2"/>
    <w:rsid w:val="008529AB"/>
    <w:rsid w:val="00854525"/>
    <w:rsid w:val="00854D99"/>
    <w:rsid w:val="00854F9C"/>
    <w:rsid w:val="008627EF"/>
    <w:rsid w:val="00863B6E"/>
    <w:rsid w:val="00864E1E"/>
    <w:rsid w:val="00871A04"/>
    <w:rsid w:val="00872E6B"/>
    <w:rsid w:val="008737C4"/>
    <w:rsid w:val="00873A75"/>
    <w:rsid w:val="00873BAC"/>
    <w:rsid w:val="00876769"/>
    <w:rsid w:val="0088083C"/>
    <w:rsid w:val="00881192"/>
    <w:rsid w:val="008823B4"/>
    <w:rsid w:val="0088256E"/>
    <w:rsid w:val="0088285A"/>
    <w:rsid w:val="00882A63"/>
    <w:rsid w:val="00882D7E"/>
    <w:rsid w:val="008869E2"/>
    <w:rsid w:val="008875C2"/>
    <w:rsid w:val="00890C0B"/>
    <w:rsid w:val="00890ED4"/>
    <w:rsid w:val="00893D61"/>
    <w:rsid w:val="00894903"/>
    <w:rsid w:val="008955DA"/>
    <w:rsid w:val="00896208"/>
    <w:rsid w:val="0089716F"/>
    <w:rsid w:val="008971E3"/>
    <w:rsid w:val="008A1476"/>
    <w:rsid w:val="008A1934"/>
    <w:rsid w:val="008A2951"/>
    <w:rsid w:val="008B0915"/>
    <w:rsid w:val="008B1BBE"/>
    <w:rsid w:val="008B1CD6"/>
    <w:rsid w:val="008B383B"/>
    <w:rsid w:val="008B43B6"/>
    <w:rsid w:val="008B4638"/>
    <w:rsid w:val="008B59D0"/>
    <w:rsid w:val="008B6024"/>
    <w:rsid w:val="008C01FF"/>
    <w:rsid w:val="008C344A"/>
    <w:rsid w:val="008C39D6"/>
    <w:rsid w:val="008C4EF4"/>
    <w:rsid w:val="008D174D"/>
    <w:rsid w:val="008D28C2"/>
    <w:rsid w:val="008D3FB2"/>
    <w:rsid w:val="008D42CA"/>
    <w:rsid w:val="008D4325"/>
    <w:rsid w:val="008D466C"/>
    <w:rsid w:val="008D4ACD"/>
    <w:rsid w:val="008D5FEF"/>
    <w:rsid w:val="008E426F"/>
    <w:rsid w:val="008E4389"/>
    <w:rsid w:val="008E4C44"/>
    <w:rsid w:val="008E5A20"/>
    <w:rsid w:val="008F0038"/>
    <w:rsid w:val="008F04CA"/>
    <w:rsid w:val="008F659E"/>
    <w:rsid w:val="008F6B42"/>
    <w:rsid w:val="008F6C4B"/>
    <w:rsid w:val="00901017"/>
    <w:rsid w:val="009027B0"/>
    <w:rsid w:val="009108F2"/>
    <w:rsid w:val="0091234B"/>
    <w:rsid w:val="00912976"/>
    <w:rsid w:val="00915E2E"/>
    <w:rsid w:val="00916213"/>
    <w:rsid w:val="00917482"/>
    <w:rsid w:val="00917699"/>
    <w:rsid w:val="00921066"/>
    <w:rsid w:val="00923FA6"/>
    <w:rsid w:val="00924DCA"/>
    <w:rsid w:val="00925350"/>
    <w:rsid w:val="00926187"/>
    <w:rsid w:val="009272AA"/>
    <w:rsid w:val="00927D2A"/>
    <w:rsid w:val="009301B0"/>
    <w:rsid w:val="009305B9"/>
    <w:rsid w:val="009324FC"/>
    <w:rsid w:val="00932825"/>
    <w:rsid w:val="00936121"/>
    <w:rsid w:val="0094062A"/>
    <w:rsid w:val="0094167A"/>
    <w:rsid w:val="00943F7C"/>
    <w:rsid w:val="0094558F"/>
    <w:rsid w:val="00952949"/>
    <w:rsid w:val="009532DF"/>
    <w:rsid w:val="009605A6"/>
    <w:rsid w:val="009623DC"/>
    <w:rsid w:val="00963F3E"/>
    <w:rsid w:val="00965A80"/>
    <w:rsid w:val="0096649A"/>
    <w:rsid w:val="009672B0"/>
    <w:rsid w:val="00967350"/>
    <w:rsid w:val="00970553"/>
    <w:rsid w:val="00972423"/>
    <w:rsid w:val="0097447A"/>
    <w:rsid w:val="009775C7"/>
    <w:rsid w:val="009818AE"/>
    <w:rsid w:val="00982303"/>
    <w:rsid w:val="0098436F"/>
    <w:rsid w:val="00984ED5"/>
    <w:rsid w:val="00986338"/>
    <w:rsid w:val="009873ED"/>
    <w:rsid w:val="009903D4"/>
    <w:rsid w:val="00991367"/>
    <w:rsid w:val="00993148"/>
    <w:rsid w:val="00994DBE"/>
    <w:rsid w:val="0099684F"/>
    <w:rsid w:val="009A11AC"/>
    <w:rsid w:val="009A2E07"/>
    <w:rsid w:val="009B07A7"/>
    <w:rsid w:val="009B36E7"/>
    <w:rsid w:val="009B4BEB"/>
    <w:rsid w:val="009B54CA"/>
    <w:rsid w:val="009B5929"/>
    <w:rsid w:val="009B658C"/>
    <w:rsid w:val="009C0227"/>
    <w:rsid w:val="009C437F"/>
    <w:rsid w:val="009C5ACA"/>
    <w:rsid w:val="009C5C5D"/>
    <w:rsid w:val="009C5D49"/>
    <w:rsid w:val="009D0A55"/>
    <w:rsid w:val="009D3825"/>
    <w:rsid w:val="009D741D"/>
    <w:rsid w:val="009D7E66"/>
    <w:rsid w:val="009E0D34"/>
    <w:rsid w:val="009E151C"/>
    <w:rsid w:val="009E1DB0"/>
    <w:rsid w:val="009E6A88"/>
    <w:rsid w:val="009F01B3"/>
    <w:rsid w:val="009F1BCF"/>
    <w:rsid w:val="009F3524"/>
    <w:rsid w:val="009F428B"/>
    <w:rsid w:val="009F4B8D"/>
    <w:rsid w:val="009F5055"/>
    <w:rsid w:val="009F5CA2"/>
    <w:rsid w:val="009F6542"/>
    <w:rsid w:val="009F7275"/>
    <w:rsid w:val="009F7C9F"/>
    <w:rsid w:val="00A007EA"/>
    <w:rsid w:val="00A01238"/>
    <w:rsid w:val="00A02397"/>
    <w:rsid w:val="00A074A5"/>
    <w:rsid w:val="00A10587"/>
    <w:rsid w:val="00A14265"/>
    <w:rsid w:val="00A1582D"/>
    <w:rsid w:val="00A22120"/>
    <w:rsid w:val="00A2224A"/>
    <w:rsid w:val="00A23407"/>
    <w:rsid w:val="00A23687"/>
    <w:rsid w:val="00A24272"/>
    <w:rsid w:val="00A2572C"/>
    <w:rsid w:val="00A27C20"/>
    <w:rsid w:val="00A35202"/>
    <w:rsid w:val="00A360E0"/>
    <w:rsid w:val="00A40BA2"/>
    <w:rsid w:val="00A436B9"/>
    <w:rsid w:val="00A45A01"/>
    <w:rsid w:val="00A5125A"/>
    <w:rsid w:val="00A51F6C"/>
    <w:rsid w:val="00A52495"/>
    <w:rsid w:val="00A5277E"/>
    <w:rsid w:val="00A534C5"/>
    <w:rsid w:val="00A54B96"/>
    <w:rsid w:val="00A602AD"/>
    <w:rsid w:val="00A63018"/>
    <w:rsid w:val="00A651E9"/>
    <w:rsid w:val="00A6538C"/>
    <w:rsid w:val="00A67E7F"/>
    <w:rsid w:val="00A716F1"/>
    <w:rsid w:val="00A71DDB"/>
    <w:rsid w:val="00A71E6F"/>
    <w:rsid w:val="00A7448D"/>
    <w:rsid w:val="00A7696B"/>
    <w:rsid w:val="00A808B5"/>
    <w:rsid w:val="00A80E9E"/>
    <w:rsid w:val="00A815A3"/>
    <w:rsid w:val="00A83717"/>
    <w:rsid w:val="00A84172"/>
    <w:rsid w:val="00A86399"/>
    <w:rsid w:val="00A9090C"/>
    <w:rsid w:val="00A917BE"/>
    <w:rsid w:val="00A92D6F"/>
    <w:rsid w:val="00A93AE9"/>
    <w:rsid w:val="00A93BE7"/>
    <w:rsid w:val="00A95DB9"/>
    <w:rsid w:val="00A97938"/>
    <w:rsid w:val="00AA36E1"/>
    <w:rsid w:val="00AA4EE9"/>
    <w:rsid w:val="00AA55F9"/>
    <w:rsid w:val="00AA70CE"/>
    <w:rsid w:val="00AB10DF"/>
    <w:rsid w:val="00AB2244"/>
    <w:rsid w:val="00AB4EC8"/>
    <w:rsid w:val="00AB58D1"/>
    <w:rsid w:val="00AB5DF9"/>
    <w:rsid w:val="00AB65B7"/>
    <w:rsid w:val="00AB6DF1"/>
    <w:rsid w:val="00AB720D"/>
    <w:rsid w:val="00AC12BD"/>
    <w:rsid w:val="00AC1425"/>
    <w:rsid w:val="00AC25F0"/>
    <w:rsid w:val="00AD1363"/>
    <w:rsid w:val="00AD1D10"/>
    <w:rsid w:val="00AD2662"/>
    <w:rsid w:val="00AD6ADC"/>
    <w:rsid w:val="00AE1B5A"/>
    <w:rsid w:val="00AE3350"/>
    <w:rsid w:val="00AE3EE0"/>
    <w:rsid w:val="00AE4B44"/>
    <w:rsid w:val="00AF058A"/>
    <w:rsid w:val="00AF3A9B"/>
    <w:rsid w:val="00B007B8"/>
    <w:rsid w:val="00B009FC"/>
    <w:rsid w:val="00B02564"/>
    <w:rsid w:val="00B034BA"/>
    <w:rsid w:val="00B11526"/>
    <w:rsid w:val="00B12DE5"/>
    <w:rsid w:val="00B1335F"/>
    <w:rsid w:val="00B150E0"/>
    <w:rsid w:val="00B16166"/>
    <w:rsid w:val="00B167D6"/>
    <w:rsid w:val="00B1686F"/>
    <w:rsid w:val="00B20CAA"/>
    <w:rsid w:val="00B231E7"/>
    <w:rsid w:val="00B24DFA"/>
    <w:rsid w:val="00B24F56"/>
    <w:rsid w:val="00B3030E"/>
    <w:rsid w:val="00B3054B"/>
    <w:rsid w:val="00B34866"/>
    <w:rsid w:val="00B36A54"/>
    <w:rsid w:val="00B40570"/>
    <w:rsid w:val="00B40AA1"/>
    <w:rsid w:val="00B45C59"/>
    <w:rsid w:val="00B50DA5"/>
    <w:rsid w:val="00B55C13"/>
    <w:rsid w:val="00B609F7"/>
    <w:rsid w:val="00B657B9"/>
    <w:rsid w:val="00B67CBE"/>
    <w:rsid w:val="00B72193"/>
    <w:rsid w:val="00B748D8"/>
    <w:rsid w:val="00B75030"/>
    <w:rsid w:val="00B75B23"/>
    <w:rsid w:val="00B762EC"/>
    <w:rsid w:val="00B7783C"/>
    <w:rsid w:val="00B77C92"/>
    <w:rsid w:val="00B8177D"/>
    <w:rsid w:val="00B82CF0"/>
    <w:rsid w:val="00B83B6F"/>
    <w:rsid w:val="00B85A1C"/>
    <w:rsid w:val="00B865CF"/>
    <w:rsid w:val="00B91849"/>
    <w:rsid w:val="00B91B68"/>
    <w:rsid w:val="00B91DCC"/>
    <w:rsid w:val="00B95948"/>
    <w:rsid w:val="00B96DC1"/>
    <w:rsid w:val="00BA0134"/>
    <w:rsid w:val="00BA0785"/>
    <w:rsid w:val="00BA2292"/>
    <w:rsid w:val="00BA26CD"/>
    <w:rsid w:val="00BA57F2"/>
    <w:rsid w:val="00BA6C20"/>
    <w:rsid w:val="00BB0FCD"/>
    <w:rsid w:val="00BB191B"/>
    <w:rsid w:val="00BB382A"/>
    <w:rsid w:val="00BB6AF0"/>
    <w:rsid w:val="00BC13C8"/>
    <w:rsid w:val="00BC1CB0"/>
    <w:rsid w:val="00BC210D"/>
    <w:rsid w:val="00BC383E"/>
    <w:rsid w:val="00BC51EB"/>
    <w:rsid w:val="00BC5A4F"/>
    <w:rsid w:val="00BC7DF9"/>
    <w:rsid w:val="00BD20DC"/>
    <w:rsid w:val="00BD3665"/>
    <w:rsid w:val="00BD5E8A"/>
    <w:rsid w:val="00BD6033"/>
    <w:rsid w:val="00BD6CBC"/>
    <w:rsid w:val="00BE0D91"/>
    <w:rsid w:val="00BE137A"/>
    <w:rsid w:val="00BE357B"/>
    <w:rsid w:val="00BE47F2"/>
    <w:rsid w:val="00BE513B"/>
    <w:rsid w:val="00BF0AD9"/>
    <w:rsid w:val="00BF12A5"/>
    <w:rsid w:val="00BF3920"/>
    <w:rsid w:val="00BF3EB4"/>
    <w:rsid w:val="00BF4C3C"/>
    <w:rsid w:val="00BF644E"/>
    <w:rsid w:val="00BF7B87"/>
    <w:rsid w:val="00C02B7D"/>
    <w:rsid w:val="00C02C2E"/>
    <w:rsid w:val="00C042B5"/>
    <w:rsid w:val="00C04FE6"/>
    <w:rsid w:val="00C06E13"/>
    <w:rsid w:val="00C070C0"/>
    <w:rsid w:val="00C07D48"/>
    <w:rsid w:val="00C10361"/>
    <w:rsid w:val="00C11934"/>
    <w:rsid w:val="00C1270B"/>
    <w:rsid w:val="00C13FAA"/>
    <w:rsid w:val="00C15716"/>
    <w:rsid w:val="00C17450"/>
    <w:rsid w:val="00C17919"/>
    <w:rsid w:val="00C20871"/>
    <w:rsid w:val="00C21708"/>
    <w:rsid w:val="00C223B4"/>
    <w:rsid w:val="00C235A0"/>
    <w:rsid w:val="00C27EBB"/>
    <w:rsid w:val="00C30410"/>
    <w:rsid w:val="00C30AE9"/>
    <w:rsid w:val="00C30FBF"/>
    <w:rsid w:val="00C3137B"/>
    <w:rsid w:val="00C352BC"/>
    <w:rsid w:val="00C37028"/>
    <w:rsid w:val="00C417A8"/>
    <w:rsid w:val="00C42A56"/>
    <w:rsid w:val="00C45631"/>
    <w:rsid w:val="00C46C62"/>
    <w:rsid w:val="00C512A2"/>
    <w:rsid w:val="00C52BD8"/>
    <w:rsid w:val="00C54672"/>
    <w:rsid w:val="00C549B4"/>
    <w:rsid w:val="00C54F94"/>
    <w:rsid w:val="00C55592"/>
    <w:rsid w:val="00C60084"/>
    <w:rsid w:val="00C6335D"/>
    <w:rsid w:val="00C63BF3"/>
    <w:rsid w:val="00C64809"/>
    <w:rsid w:val="00C66A41"/>
    <w:rsid w:val="00C711B9"/>
    <w:rsid w:val="00C71728"/>
    <w:rsid w:val="00C72FE7"/>
    <w:rsid w:val="00C77662"/>
    <w:rsid w:val="00C81F41"/>
    <w:rsid w:val="00C83B8E"/>
    <w:rsid w:val="00C84E3B"/>
    <w:rsid w:val="00C8563C"/>
    <w:rsid w:val="00C8693B"/>
    <w:rsid w:val="00C86E59"/>
    <w:rsid w:val="00C91E49"/>
    <w:rsid w:val="00C92378"/>
    <w:rsid w:val="00C94238"/>
    <w:rsid w:val="00C95059"/>
    <w:rsid w:val="00C96AE7"/>
    <w:rsid w:val="00CA389A"/>
    <w:rsid w:val="00CA42F1"/>
    <w:rsid w:val="00CA43A3"/>
    <w:rsid w:val="00CA6E83"/>
    <w:rsid w:val="00CB1570"/>
    <w:rsid w:val="00CC1791"/>
    <w:rsid w:val="00CC4B94"/>
    <w:rsid w:val="00CC64EE"/>
    <w:rsid w:val="00CC70E3"/>
    <w:rsid w:val="00CD0843"/>
    <w:rsid w:val="00CD4312"/>
    <w:rsid w:val="00CD6FCE"/>
    <w:rsid w:val="00CE6DAD"/>
    <w:rsid w:val="00CF1DAD"/>
    <w:rsid w:val="00CF2097"/>
    <w:rsid w:val="00CF6AD4"/>
    <w:rsid w:val="00CF7688"/>
    <w:rsid w:val="00D00C63"/>
    <w:rsid w:val="00D02354"/>
    <w:rsid w:val="00D049AA"/>
    <w:rsid w:val="00D04BF7"/>
    <w:rsid w:val="00D11712"/>
    <w:rsid w:val="00D13184"/>
    <w:rsid w:val="00D13C51"/>
    <w:rsid w:val="00D1464F"/>
    <w:rsid w:val="00D14D7F"/>
    <w:rsid w:val="00D15165"/>
    <w:rsid w:val="00D15496"/>
    <w:rsid w:val="00D21C36"/>
    <w:rsid w:val="00D222BF"/>
    <w:rsid w:val="00D22AC7"/>
    <w:rsid w:val="00D22F42"/>
    <w:rsid w:val="00D24113"/>
    <w:rsid w:val="00D24F47"/>
    <w:rsid w:val="00D256FB"/>
    <w:rsid w:val="00D31537"/>
    <w:rsid w:val="00D3409F"/>
    <w:rsid w:val="00D370F0"/>
    <w:rsid w:val="00D411F6"/>
    <w:rsid w:val="00D438E5"/>
    <w:rsid w:val="00D439A0"/>
    <w:rsid w:val="00D45272"/>
    <w:rsid w:val="00D47B59"/>
    <w:rsid w:val="00D50F6D"/>
    <w:rsid w:val="00D51D4E"/>
    <w:rsid w:val="00D52995"/>
    <w:rsid w:val="00D53F0B"/>
    <w:rsid w:val="00D56131"/>
    <w:rsid w:val="00D5617D"/>
    <w:rsid w:val="00D6282A"/>
    <w:rsid w:val="00D63265"/>
    <w:rsid w:val="00D656D4"/>
    <w:rsid w:val="00D66ED3"/>
    <w:rsid w:val="00D70197"/>
    <w:rsid w:val="00D73DB7"/>
    <w:rsid w:val="00D77997"/>
    <w:rsid w:val="00D80381"/>
    <w:rsid w:val="00D8645D"/>
    <w:rsid w:val="00D86A06"/>
    <w:rsid w:val="00D90CA9"/>
    <w:rsid w:val="00D92015"/>
    <w:rsid w:val="00D96558"/>
    <w:rsid w:val="00D96CB4"/>
    <w:rsid w:val="00D971E7"/>
    <w:rsid w:val="00DA041B"/>
    <w:rsid w:val="00DA42F6"/>
    <w:rsid w:val="00DA4FFB"/>
    <w:rsid w:val="00DB08EA"/>
    <w:rsid w:val="00DB1B97"/>
    <w:rsid w:val="00DB1F2E"/>
    <w:rsid w:val="00DB2B38"/>
    <w:rsid w:val="00DB3194"/>
    <w:rsid w:val="00DB5A99"/>
    <w:rsid w:val="00DB5B65"/>
    <w:rsid w:val="00DB6228"/>
    <w:rsid w:val="00DB62E0"/>
    <w:rsid w:val="00DC36E1"/>
    <w:rsid w:val="00DC4C35"/>
    <w:rsid w:val="00DC633C"/>
    <w:rsid w:val="00DC65D5"/>
    <w:rsid w:val="00DC6A8C"/>
    <w:rsid w:val="00DC7A80"/>
    <w:rsid w:val="00DD1732"/>
    <w:rsid w:val="00DD2900"/>
    <w:rsid w:val="00DD6265"/>
    <w:rsid w:val="00DD6F68"/>
    <w:rsid w:val="00DE4D5B"/>
    <w:rsid w:val="00DE61EA"/>
    <w:rsid w:val="00DF2151"/>
    <w:rsid w:val="00DF334F"/>
    <w:rsid w:val="00DF5579"/>
    <w:rsid w:val="00DF5DCF"/>
    <w:rsid w:val="00DF7E66"/>
    <w:rsid w:val="00E03395"/>
    <w:rsid w:val="00E0417E"/>
    <w:rsid w:val="00E0462C"/>
    <w:rsid w:val="00E05B2D"/>
    <w:rsid w:val="00E06731"/>
    <w:rsid w:val="00E06D0D"/>
    <w:rsid w:val="00E07862"/>
    <w:rsid w:val="00E15EA8"/>
    <w:rsid w:val="00E2149A"/>
    <w:rsid w:val="00E22FBC"/>
    <w:rsid w:val="00E2744B"/>
    <w:rsid w:val="00E3101A"/>
    <w:rsid w:val="00E31FE8"/>
    <w:rsid w:val="00E33875"/>
    <w:rsid w:val="00E33CB1"/>
    <w:rsid w:val="00E34463"/>
    <w:rsid w:val="00E34FA3"/>
    <w:rsid w:val="00E359E2"/>
    <w:rsid w:val="00E36807"/>
    <w:rsid w:val="00E44791"/>
    <w:rsid w:val="00E45672"/>
    <w:rsid w:val="00E458B2"/>
    <w:rsid w:val="00E46F01"/>
    <w:rsid w:val="00E46F7A"/>
    <w:rsid w:val="00E514A5"/>
    <w:rsid w:val="00E574A8"/>
    <w:rsid w:val="00E60038"/>
    <w:rsid w:val="00E601D1"/>
    <w:rsid w:val="00E610E1"/>
    <w:rsid w:val="00E61A5F"/>
    <w:rsid w:val="00E653C3"/>
    <w:rsid w:val="00E65DB3"/>
    <w:rsid w:val="00E7045F"/>
    <w:rsid w:val="00E706AF"/>
    <w:rsid w:val="00E7121E"/>
    <w:rsid w:val="00E71FD0"/>
    <w:rsid w:val="00E746EA"/>
    <w:rsid w:val="00E74F02"/>
    <w:rsid w:val="00E77686"/>
    <w:rsid w:val="00E77BCB"/>
    <w:rsid w:val="00E8096C"/>
    <w:rsid w:val="00E81311"/>
    <w:rsid w:val="00E84B32"/>
    <w:rsid w:val="00E86ACE"/>
    <w:rsid w:val="00E9012D"/>
    <w:rsid w:val="00E918D5"/>
    <w:rsid w:val="00E9444C"/>
    <w:rsid w:val="00E94DCC"/>
    <w:rsid w:val="00E95EBF"/>
    <w:rsid w:val="00E96979"/>
    <w:rsid w:val="00E96C8F"/>
    <w:rsid w:val="00EA36F9"/>
    <w:rsid w:val="00EA4BD5"/>
    <w:rsid w:val="00EA7224"/>
    <w:rsid w:val="00EB5DC1"/>
    <w:rsid w:val="00EC1FAC"/>
    <w:rsid w:val="00EC484A"/>
    <w:rsid w:val="00EC4B50"/>
    <w:rsid w:val="00EC5FA2"/>
    <w:rsid w:val="00EC7154"/>
    <w:rsid w:val="00ED264C"/>
    <w:rsid w:val="00ED2A46"/>
    <w:rsid w:val="00ED3723"/>
    <w:rsid w:val="00ED3783"/>
    <w:rsid w:val="00ED3B7A"/>
    <w:rsid w:val="00ED6C45"/>
    <w:rsid w:val="00ED7ECA"/>
    <w:rsid w:val="00EE1343"/>
    <w:rsid w:val="00EE19ED"/>
    <w:rsid w:val="00EE28E2"/>
    <w:rsid w:val="00EE6E8B"/>
    <w:rsid w:val="00EF042D"/>
    <w:rsid w:val="00EF0F2B"/>
    <w:rsid w:val="00EF4275"/>
    <w:rsid w:val="00EF714C"/>
    <w:rsid w:val="00EF7CA2"/>
    <w:rsid w:val="00F01390"/>
    <w:rsid w:val="00F03AB2"/>
    <w:rsid w:val="00F07A86"/>
    <w:rsid w:val="00F105EB"/>
    <w:rsid w:val="00F10E2C"/>
    <w:rsid w:val="00F126AC"/>
    <w:rsid w:val="00F12A75"/>
    <w:rsid w:val="00F13CEB"/>
    <w:rsid w:val="00F16C3F"/>
    <w:rsid w:val="00F201CC"/>
    <w:rsid w:val="00F220B8"/>
    <w:rsid w:val="00F2562E"/>
    <w:rsid w:val="00F30268"/>
    <w:rsid w:val="00F31C47"/>
    <w:rsid w:val="00F36AFA"/>
    <w:rsid w:val="00F36FCC"/>
    <w:rsid w:val="00F40EB7"/>
    <w:rsid w:val="00F4401D"/>
    <w:rsid w:val="00F508B8"/>
    <w:rsid w:val="00F51664"/>
    <w:rsid w:val="00F52541"/>
    <w:rsid w:val="00F5334D"/>
    <w:rsid w:val="00F55A2C"/>
    <w:rsid w:val="00F562AA"/>
    <w:rsid w:val="00F56A6C"/>
    <w:rsid w:val="00F62A70"/>
    <w:rsid w:val="00F62BF3"/>
    <w:rsid w:val="00F655CF"/>
    <w:rsid w:val="00F65DF9"/>
    <w:rsid w:val="00F704F7"/>
    <w:rsid w:val="00F71123"/>
    <w:rsid w:val="00F72D71"/>
    <w:rsid w:val="00F73434"/>
    <w:rsid w:val="00F74687"/>
    <w:rsid w:val="00F75D8F"/>
    <w:rsid w:val="00F76FA7"/>
    <w:rsid w:val="00F77BE6"/>
    <w:rsid w:val="00F803F3"/>
    <w:rsid w:val="00F82EC8"/>
    <w:rsid w:val="00F84A52"/>
    <w:rsid w:val="00F85276"/>
    <w:rsid w:val="00F85856"/>
    <w:rsid w:val="00F862D8"/>
    <w:rsid w:val="00F9363A"/>
    <w:rsid w:val="00F93C2B"/>
    <w:rsid w:val="00F93DE0"/>
    <w:rsid w:val="00F94900"/>
    <w:rsid w:val="00F95E2F"/>
    <w:rsid w:val="00F97920"/>
    <w:rsid w:val="00FA08A2"/>
    <w:rsid w:val="00FA1AC3"/>
    <w:rsid w:val="00FA2347"/>
    <w:rsid w:val="00FA23C9"/>
    <w:rsid w:val="00FA39AC"/>
    <w:rsid w:val="00FA65A7"/>
    <w:rsid w:val="00FA7354"/>
    <w:rsid w:val="00FA7EA4"/>
    <w:rsid w:val="00FB11B2"/>
    <w:rsid w:val="00FB458E"/>
    <w:rsid w:val="00FB5AC5"/>
    <w:rsid w:val="00FB674A"/>
    <w:rsid w:val="00FB7433"/>
    <w:rsid w:val="00FB7487"/>
    <w:rsid w:val="00FC0147"/>
    <w:rsid w:val="00FC05D5"/>
    <w:rsid w:val="00FC14DA"/>
    <w:rsid w:val="00FC3D18"/>
    <w:rsid w:val="00FD09C4"/>
    <w:rsid w:val="00FD130C"/>
    <w:rsid w:val="00FD166C"/>
    <w:rsid w:val="00FD552B"/>
    <w:rsid w:val="00FD71B4"/>
    <w:rsid w:val="00FD7CAB"/>
    <w:rsid w:val="00FE121A"/>
    <w:rsid w:val="00FE244C"/>
    <w:rsid w:val="00FE2E6B"/>
    <w:rsid w:val="00FE7B93"/>
    <w:rsid w:val="00FF3377"/>
    <w:rsid w:val="00FF5028"/>
    <w:rsid w:val="00FF5D67"/>
    <w:rsid w:val="00FF78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6731"/>
    <w:pPr>
      <w:spacing w:after="200" w:line="276" w:lineRule="auto"/>
    </w:pPr>
    <w:rPr>
      <w:lang w:val="pt-BR" w:eastAsia="pt-BR"/>
    </w:rPr>
  </w:style>
  <w:style w:type="paragraph" w:styleId="Heading1">
    <w:name w:val="heading 1"/>
    <w:basedOn w:val="Normal"/>
    <w:next w:val="Normal"/>
    <w:link w:val="Heading1Char"/>
    <w:uiPriority w:val="99"/>
    <w:qFormat/>
    <w:rsid w:val="000E2CE1"/>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9"/>
    <w:qFormat/>
    <w:rsid w:val="00A2368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CE1"/>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A23687"/>
    <w:rPr>
      <w:rFonts w:ascii="Times New Roman" w:hAnsi="Times New Roman" w:cs="Times New Roman"/>
      <w:b/>
      <w:bCs/>
      <w:sz w:val="27"/>
      <w:szCs w:val="27"/>
      <w:lang w:eastAsia="pt-BR"/>
    </w:rPr>
  </w:style>
  <w:style w:type="paragraph" w:styleId="ListParagraph">
    <w:name w:val="List Paragraph"/>
    <w:basedOn w:val="Normal"/>
    <w:uiPriority w:val="99"/>
    <w:qFormat/>
    <w:rsid w:val="00E918D5"/>
    <w:pPr>
      <w:ind w:left="720"/>
      <w:contextualSpacing/>
    </w:pPr>
  </w:style>
  <w:style w:type="paragraph" w:styleId="Header">
    <w:name w:val="header"/>
    <w:basedOn w:val="Normal"/>
    <w:link w:val="HeaderChar"/>
    <w:uiPriority w:val="99"/>
    <w:rsid w:val="00661E67"/>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661E67"/>
    <w:rPr>
      <w:rFonts w:cs="Times New Roman"/>
    </w:rPr>
  </w:style>
  <w:style w:type="paragraph" w:styleId="Footer">
    <w:name w:val="footer"/>
    <w:basedOn w:val="Normal"/>
    <w:link w:val="FooterChar"/>
    <w:uiPriority w:val="99"/>
    <w:rsid w:val="00661E67"/>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61E67"/>
    <w:rPr>
      <w:rFonts w:cs="Times New Roman"/>
    </w:rPr>
  </w:style>
  <w:style w:type="paragraph" w:styleId="BodyTextIndent">
    <w:name w:val="Body Text Indent"/>
    <w:basedOn w:val="Normal"/>
    <w:link w:val="BodyTextIndentChar"/>
    <w:uiPriority w:val="99"/>
    <w:rsid w:val="00661E67"/>
    <w:pPr>
      <w:suppressAutoHyphens/>
      <w:spacing w:after="120" w:line="240" w:lineRule="auto"/>
      <w:ind w:firstLine="708"/>
      <w:jc w:val="both"/>
    </w:pPr>
    <w:rPr>
      <w:rFonts w:ascii="Arial" w:hAnsi="Arial"/>
      <w:sz w:val="24"/>
      <w:szCs w:val="20"/>
      <w:lang w:eastAsia="ar-SA"/>
    </w:rPr>
  </w:style>
  <w:style w:type="character" w:customStyle="1" w:styleId="BodyTextIndentChar">
    <w:name w:val="Body Text Indent Char"/>
    <w:basedOn w:val="DefaultParagraphFont"/>
    <w:link w:val="BodyTextIndent"/>
    <w:uiPriority w:val="99"/>
    <w:locked/>
    <w:rsid w:val="00661E67"/>
    <w:rPr>
      <w:rFonts w:ascii="Arial" w:hAnsi="Arial" w:cs="Times New Roman"/>
      <w:sz w:val="20"/>
      <w:szCs w:val="20"/>
      <w:lang w:eastAsia="ar-SA" w:bidi="ar-SA"/>
    </w:rPr>
  </w:style>
  <w:style w:type="character" w:styleId="CommentReference">
    <w:name w:val="annotation reference"/>
    <w:basedOn w:val="DefaultParagraphFont"/>
    <w:uiPriority w:val="99"/>
    <w:semiHidden/>
    <w:rsid w:val="006778B8"/>
    <w:rPr>
      <w:rFonts w:cs="Times New Roman"/>
      <w:sz w:val="16"/>
      <w:szCs w:val="16"/>
    </w:rPr>
  </w:style>
  <w:style w:type="paragraph" w:styleId="CommentText">
    <w:name w:val="annotation text"/>
    <w:basedOn w:val="Normal"/>
    <w:link w:val="CommentTextChar"/>
    <w:uiPriority w:val="99"/>
    <w:rsid w:val="006778B8"/>
    <w:pPr>
      <w:spacing w:line="240" w:lineRule="auto"/>
    </w:pPr>
    <w:rPr>
      <w:sz w:val="20"/>
      <w:szCs w:val="20"/>
    </w:rPr>
  </w:style>
  <w:style w:type="character" w:customStyle="1" w:styleId="CommentTextChar">
    <w:name w:val="Comment Text Char"/>
    <w:basedOn w:val="DefaultParagraphFont"/>
    <w:link w:val="CommentText"/>
    <w:uiPriority w:val="99"/>
    <w:locked/>
    <w:rsid w:val="006778B8"/>
    <w:rPr>
      <w:rFonts w:cs="Times New Roman"/>
      <w:sz w:val="20"/>
      <w:szCs w:val="20"/>
    </w:rPr>
  </w:style>
  <w:style w:type="paragraph" w:styleId="CommentSubject">
    <w:name w:val="annotation subject"/>
    <w:basedOn w:val="CommentText"/>
    <w:next w:val="CommentText"/>
    <w:link w:val="CommentSubjectChar"/>
    <w:uiPriority w:val="99"/>
    <w:semiHidden/>
    <w:rsid w:val="006778B8"/>
    <w:rPr>
      <w:b/>
      <w:bCs/>
    </w:rPr>
  </w:style>
  <w:style w:type="character" w:customStyle="1" w:styleId="CommentSubjectChar">
    <w:name w:val="Comment Subject Char"/>
    <w:basedOn w:val="CommentTextChar"/>
    <w:link w:val="CommentSubject"/>
    <w:uiPriority w:val="99"/>
    <w:semiHidden/>
    <w:locked/>
    <w:rsid w:val="006778B8"/>
    <w:rPr>
      <w:b/>
      <w:bCs/>
    </w:rPr>
  </w:style>
  <w:style w:type="paragraph" w:styleId="BalloonText">
    <w:name w:val="Balloon Text"/>
    <w:basedOn w:val="Normal"/>
    <w:link w:val="BalloonTextChar"/>
    <w:uiPriority w:val="99"/>
    <w:semiHidden/>
    <w:rsid w:val="00677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78B8"/>
    <w:rPr>
      <w:rFonts w:ascii="Tahoma" w:hAnsi="Tahoma" w:cs="Tahoma"/>
      <w:sz w:val="16"/>
      <w:szCs w:val="16"/>
    </w:rPr>
  </w:style>
  <w:style w:type="character" w:styleId="Hyperlink">
    <w:name w:val="Hyperlink"/>
    <w:basedOn w:val="DefaultParagraphFont"/>
    <w:uiPriority w:val="99"/>
    <w:rsid w:val="00B50DA5"/>
    <w:rPr>
      <w:rFonts w:cs="Times New Roman"/>
      <w:color w:val="0000FF"/>
      <w:u w:val="single"/>
    </w:rPr>
  </w:style>
  <w:style w:type="table" w:styleId="TableGrid">
    <w:name w:val="Table Grid"/>
    <w:basedOn w:val="TableNormal"/>
    <w:uiPriority w:val="99"/>
    <w:rsid w:val="004101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uiPriority w:val="99"/>
    <w:rsid w:val="00872E6B"/>
    <w:pPr>
      <w:spacing w:after="0" w:line="240" w:lineRule="auto"/>
      <w:jc w:val="both"/>
    </w:pPr>
    <w:rPr>
      <w:rFonts w:ascii="Times New Roman" w:hAnsi="Times New Roman"/>
      <w:sz w:val="24"/>
      <w:szCs w:val="24"/>
    </w:rPr>
  </w:style>
  <w:style w:type="paragraph" w:styleId="TOCHeading">
    <w:name w:val="TOC Heading"/>
    <w:basedOn w:val="Heading1"/>
    <w:next w:val="Normal"/>
    <w:uiPriority w:val="99"/>
    <w:qFormat/>
    <w:rsid w:val="000E2CE1"/>
    <w:pPr>
      <w:outlineLvl w:val="9"/>
    </w:pPr>
  </w:style>
  <w:style w:type="paragraph" w:styleId="TOC2">
    <w:name w:val="toc 2"/>
    <w:basedOn w:val="Normal"/>
    <w:next w:val="Normal"/>
    <w:autoRedefine/>
    <w:uiPriority w:val="99"/>
    <w:rsid w:val="00776854"/>
    <w:pPr>
      <w:tabs>
        <w:tab w:val="left" w:pos="567"/>
        <w:tab w:val="right" w:leader="dot" w:pos="9061"/>
      </w:tabs>
      <w:spacing w:after="100"/>
      <w:jc w:val="both"/>
    </w:pPr>
  </w:style>
  <w:style w:type="paragraph" w:styleId="TOC1">
    <w:name w:val="toc 1"/>
    <w:basedOn w:val="Normal"/>
    <w:next w:val="Normal"/>
    <w:autoRedefine/>
    <w:uiPriority w:val="99"/>
    <w:rsid w:val="00E94DCC"/>
    <w:pPr>
      <w:tabs>
        <w:tab w:val="left" w:pos="440"/>
        <w:tab w:val="right" w:leader="dot" w:pos="8494"/>
      </w:tabs>
      <w:spacing w:after="100"/>
    </w:pPr>
    <w:rPr>
      <w:rFonts w:ascii="Arial" w:hAnsi="Arial" w:cs="Arial"/>
      <w:b/>
      <w:sz w:val="28"/>
      <w:szCs w:val="28"/>
    </w:rPr>
  </w:style>
  <w:style w:type="paragraph" w:styleId="FootnoteText">
    <w:name w:val="footnote text"/>
    <w:basedOn w:val="Normal"/>
    <w:link w:val="FootnoteTextChar"/>
    <w:uiPriority w:val="99"/>
    <w:rsid w:val="00394A0D"/>
    <w:pPr>
      <w:spacing w:after="0" w:line="360" w:lineRule="auto"/>
      <w:ind w:firstLine="709"/>
      <w:jc w:val="both"/>
    </w:pPr>
    <w:rPr>
      <w:rFonts w:ascii="Arial" w:hAnsi="Arial"/>
      <w:sz w:val="20"/>
      <w:szCs w:val="20"/>
    </w:rPr>
  </w:style>
  <w:style w:type="character" w:customStyle="1" w:styleId="FootnoteTextChar">
    <w:name w:val="Footnote Text Char"/>
    <w:basedOn w:val="DefaultParagraphFont"/>
    <w:link w:val="FootnoteText"/>
    <w:uiPriority w:val="99"/>
    <w:locked/>
    <w:rsid w:val="00394A0D"/>
    <w:rPr>
      <w:rFonts w:ascii="Arial" w:hAnsi="Arial" w:cs="Times New Roman"/>
      <w:sz w:val="20"/>
      <w:szCs w:val="20"/>
    </w:rPr>
  </w:style>
  <w:style w:type="character" w:styleId="FootnoteReference">
    <w:name w:val="footnote reference"/>
    <w:basedOn w:val="DefaultParagraphFont"/>
    <w:uiPriority w:val="99"/>
    <w:rsid w:val="00394A0D"/>
    <w:rPr>
      <w:rFonts w:cs="Times New Roman"/>
      <w:vertAlign w:val="superscript"/>
    </w:rPr>
  </w:style>
  <w:style w:type="paragraph" w:customStyle="1" w:styleId="Estilo1">
    <w:name w:val="Estilo1"/>
    <w:basedOn w:val="Normal"/>
    <w:link w:val="Estilo1Char"/>
    <w:uiPriority w:val="99"/>
    <w:rsid w:val="00E45672"/>
    <w:pPr>
      <w:spacing w:after="0" w:line="360" w:lineRule="auto"/>
      <w:ind w:firstLine="709"/>
      <w:jc w:val="both"/>
    </w:pPr>
    <w:rPr>
      <w:rFonts w:ascii="Times New Roman" w:hAnsi="Times New Roman" w:cs="Arial"/>
      <w:sz w:val="24"/>
      <w:szCs w:val="24"/>
    </w:rPr>
  </w:style>
  <w:style w:type="character" w:customStyle="1" w:styleId="Estilo1Char">
    <w:name w:val="Estilo1 Char"/>
    <w:basedOn w:val="DefaultParagraphFont"/>
    <w:link w:val="Estilo1"/>
    <w:uiPriority w:val="99"/>
    <w:locked/>
    <w:rsid w:val="00E45672"/>
    <w:rPr>
      <w:rFonts w:ascii="Times New Roman" w:hAnsi="Times New Roman" w:cs="Arial"/>
      <w:sz w:val="24"/>
      <w:szCs w:val="24"/>
    </w:rPr>
  </w:style>
  <w:style w:type="paragraph" w:styleId="NormalWeb">
    <w:name w:val="Normal (Web)"/>
    <w:basedOn w:val="Normal"/>
    <w:uiPriority w:val="99"/>
    <w:semiHidden/>
    <w:rsid w:val="0098633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86338"/>
    <w:rPr>
      <w:rFonts w:cs="Times New Roman"/>
    </w:rPr>
  </w:style>
  <w:style w:type="character" w:customStyle="1" w:styleId="fakelink">
    <w:name w:val="fakelink"/>
    <w:basedOn w:val="DefaultParagraphFont"/>
    <w:uiPriority w:val="99"/>
    <w:rsid w:val="00986338"/>
    <w:rPr>
      <w:rFonts w:cs="Times New Roman"/>
    </w:rPr>
  </w:style>
  <w:style w:type="paragraph" w:customStyle="1" w:styleId="Default">
    <w:name w:val="Default"/>
    <w:uiPriority w:val="99"/>
    <w:rsid w:val="006F5D1D"/>
    <w:pPr>
      <w:autoSpaceDE w:val="0"/>
      <w:autoSpaceDN w:val="0"/>
      <w:adjustRightInd w:val="0"/>
      <w:jc w:val="both"/>
    </w:pPr>
    <w:rPr>
      <w:rFonts w:ascii="Arial Narrow" w:hAnsi="Arial Narrow" w:cs="Arial Narrow"/>
      <w:color w:val="000000"/>
      <w:sz w:val="24"/>
      <w:szCs w:val="24"/>
      <w:lang w:val="pt-BR" w:eastAsia="pt-BR"/>
    </w:rPr>
  </w:style>
  <w:style w:type="paragraph" w:styleId="Revision">
    <w:name w:val="Revision"/>
    <w:hidden/>
    <w:uiPriority w:val="99"/>
    <w:semiHidden/>
    <w:rsid w:val="00994DBE"/>
    <w:rPr>
      <w:lang w:val="pt-BR" w:eastAsia="pt-BR"/>
    </w:rPr>
  </w:style>
  <w:style w:type="paragraph" w:customStyle="1" w:styleId="Ttulo1">
    <w:name w:val="Título1"/>
    <w:basedOn w:val="Normal"/>
    <w:uiPriority w:val="99"/>
    <w:rsid w:val="00A8371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2247893">
      <w:marLeft w:val="0"/>
      <w:marRight w:val="0"/>
      <w:marTop w:val="0"/>
      <w:marBottom w:val="0"/>
      <w:divBdr>
        <w:top w:val="none" w:sz="0" w:space="0" w:color="auto"/>
        <w:left w:val="none" w:sz="0" w:space="0" w:color="auto"/>
        <w:bottom w:val="none" w:sz="0" w:space="0" w:color="auto"/>
        <w:right w:val="none" w:sz="0" w:space="0" w:color="auto"/>
      </w:divBdr>
    </w:div>
    <w:div w:id="952247895">
      <w:marLeft w:val="0"/>
      <w:marRight w:val="0"/>
      <w:marTop w:val="0"/>
      <w:marBottom w:val="0"/>
      <w:divBdr>
        <w:top w:val="none" w:sz="0" w:space="0" w:color="auto"/>
        <w:left w:val="none" w:sz="0" w:space="0" w:color="auto"/>
        <w:bottom w:val="none" w:sz="0" w:space="0" w:color="auto"/>
        <w:right w:val="none" w:sz="0" w:space="0" w:color="auto"/>
      </w:divBdr>
    </w:div>
    <w:div w:id="952247896">
      <w:marLeft w:val="0"/>
      <w:marRight w:val="0"/>
      <w:marTop w:val="0"/>
      <w:marBottom w:val="0"/>
      <w:divBdr>
        <w:top w:val="none" w:sz="0" w:space="0" w:color="auto"/>
        <w:left w:val="none" w:sz="0" w:space="0" w:color="auto"/>
        <w:bottom w:val="none" w:sz="0" w:space="0" w:color="auto"/>
        <w:right w:val="none" w:sz="0" w:space="0" w:color="auto"/>
      </w:divBdr>
    </w:div>
    <w:div w:id="952247898">
      <w:marLeft w:val="0"/>
      <w:marRight w:val="0"/>
      <w:marTop w:val="0"/>
      <w:marBottom w:val="0"/>
      <w:divBdr>
        <w:top w:val="none" w:sz="0" w:space="0" w:color="auto"/>
        <w:left w:val="none" w:sz="0" w:space="0" w:color="auto"/>
        <w:bottom w:val="none" w:sz="0" w:space="0" w:color="auto"/>
        <w:right w:val="none" w:sz="0" w:space="0" w:color="auto"/>
      </w:divBdr>
    </w:div>
    <w:div w:id="952247899">
      <w:marLeft w:val="0"/>
      <w:marRight w:val="0"/>
      <w:marTop w:val="0"/>
      <w:marBottom w:val="0"/>
      <w:divBdr>
        <w:top w:val="none" w:sz="0" w:space="0" w:color="auto"/>
        <w:left w:val="none" w:sz="0" w:space="0" w:color="auto"/>
        <w:bottom w:val="none" w:sz="0" w:space="0" w:color="auto"/>
        <w:right w:val="none" w:sz="0" w:space="0" w:color="auto"/>
      </w:divBdr>
    </w:div>
    <w:div w:id="952247901">
      <w:marLeft w:val="0"/>
      <w:marRight w:val="0"/>
      <w:marTop w:val="0"/>
      <w:marBottom w:val="0"/>
      <w:divBdr>
        <w:top w:val="none" w:sz="0" w:space="0" w:color="auto"/>
        <w:left w:val="none" w:sz="0" w:space="0" w:color="auto"/>
        <w:bottom w:val="none" w:sz="0" w:space="0" w:color="auto"/>
        <w:right w:val="none" w:sz="0" w:space="0" w:color="auto"/>
      </w:divBdr>
    </w:div>
    <w:div w:id="952247902">
      <w:marLeft w:val="0"/>
      <w:marRight w:val="0"/>
      <w:marTop w:val="0"/>
      <w:marBottom w:val="0"/>
      <w:divBdr>
        <w:top w:val="none" w:sz="0" w:space="0" w:color="auto"/>
        <w:left w:val="none" w:sz="0" w:space="0" w:color="auto"/>
        <w:bottom w:val="none" w:sz="0" w:space="0" w:color="auto"/>
        <w:right w:val="none" w:sz="0" w:space="0" w:color="auto"/>
      </w:divBdr>
      <w:divsChild>
        <w:div w:id="952247891">
          <w:marLeft w:val="1080"/>
          <w:marRight w:val="0"/>
          <w:marTop w:val="200"/>
          <w:marBottom w:val="0"/>
          <w:divBdr>
            <w:top w:val="none" w:sz="0" w:space="0" w:color="auto"/>
            <w:left w:val="none" w:sz="0" w:space="0" w:color="auto"/>
            <w:bottom w:val="none" w:sz="0" w:space="0" w:color="auto"/>
            <w:right w:val="none" w:sz="0" w:space="0" w:color="auto"/>
          </w:divBdr>
        </w:div>
        <w:div w:id="952247892">
          <w:marLeft w:val="1080"/>
          <w:marRight w:val="0"/>
          <w:marTop w:val="200"/>
          <w:marBottom w:val="0"/>
          <w:divBdr>
            <w:top w:val="none" w:sz="0" w:space="0" w:color="auto"/>
            <w:left w:val="none" w:sz="0" w:space="0" w:color="auto"/>
            <w:bottom w:val="none" w:sz="0" w:space="0" w:color="auto"/>
            <w:right w:val="none" w:sz="0" w:space="0" w:color="auto"/>
          </w:divBdr>
        </w:div>
        <w:div w:id="952247894">
          <w:marLeft w:val="1080"/>
          <w:marRight w:val="0"/>
          <w:marTop w:val="200"/>
          <w:marBottom w:val="0"/>
          <w:divBdr>
            <w:top w:val="none" w:sz="0" w:space="0" w:color="auto"/>
            <w:left w:val="none" w:sz="0" w:space="0" w:color="auto"/>
            <w:bottom w:val="none" w:sz="0" w:space="0" w:color="auto"/>
            <w:right w:val="none" w:sz="0" w:space="0" w:color="auto"/>
          </w:divBdr>
        </w:div>
        <w:div w:id="952247897">
          <w:marLeft w:val="1080"/>
          <w:marRight w:val="0"/>
          <w:marTop w:val="200"/>
          <w:marBottom w:val="0"/>
          <w:divBdr>
            <w:top w:val="none" w:sz="0" w:space="0" w:color="auto"/>
            <w:left w:val="none" w:sz="0" w:space="0" w:color="auto"/>
            <w:bottom w:val="none" w:sz="0" w:space="0" w:color="auto"/>
            <w:right w:val="none" w:sz="0" w:space="0" w:color="auto"/>
          </w:divBdr>
        </w:div>
        <w:div w:id="952247900">
          <w:marLeft w:val="360"/>
          <w:marRight w:val="0"/>
          <w:marTop w:val="200"/>
          <w:marBottom w:val="0"/>
          <w:divBdr>
            <w:top w:val="none" w:sz="0" w:space="0" w:color="auto"/>
            <w:left w:val="none" w:sz="0" w:space="0" w:color="auto"/>
            <w:bottom w:val="none" w:sz="0" w:space="0" w:color="auto"/>
            <w:right w:val="none" w:sz="0" w:space="0" w:color="auto"/>
          </w:divBdr>
        </w:div>
        <w:div w:id="952247923">
          <w:marLeft w:val="1080"/>
          <w:marRight w:val="0"/>
          <w:marTop w:val="200"/>
          <w:marBottom w:val="0"/>
          <w:divBdr>
            <w:top w:val="none" w:sz="0" w:space="0" w:color="auto"/>
            <w:left w:val="none" w:sz="0" w:space="0" w:color="auto"/>
            <w:bottom w:val="none" w:sz="0" w:space="0" w:color="auto"/>
            <w:right w:val="none" w:sz="0" w:space="0" w:color="auto"/>
          </w:divBdr>
        </w:div>
      </w:divsChild>
    </w:div>
    <w:div w:id="952247903">
      <w:marLeft w:val="0"/>
      <w:marRight w:val="0"/>
      <w:marTop w:val="0"/>
      <w:marBottom w:val="0"/>
      <w:divBdr>
        <w:top w:val="none" w:sz="0" w:space="0" w:color="auto"/>
        <w:left w:val="none" w:sz="0" w:space="0" w:color="auto"/>
        <w:bottom w:val="none" w:sz="0" w:space="0" w:color="auto"/>
        <w:right w:val="none" w:sz="0" w:space="0" w:color="auto"/>
      </w:divBdr>
    </w:div>
    <w:div w:id="952247904">
      <w:marLeft w:val="0"/>
      <w:marRight w:val="0"/>
      <w:marTop w:val="0"/>
      <w:marBottom w:val="0"/>
      <w:divBdr>
        <w:top w:val="none" w:sz="0" w:space="0" w:color="auto"/>
        <w:left w:val="none" w:sz="0" w:space="0" w:color="auto"/>
        <w:bottom w:val="none" w:sz="0" w:space="0" w:color="auto"/>
        <w:right w:val="none" w:sz="0" w:space="0" w:color="auto"/>
      </w:divBdr>
    </w:div>
    <w:div w:id="952247905">
      <w:marLeft w:val="0"/>
      <w:marRight w:val="0"/>
      <w:marTop w:val="0"/>
      <w:marBottom w:val="0"/>
      <w:divBdr>
        <w:top w:val="none" w:sz="0" w:space="0" w:color="auto"/>
        <w:left w:val="none" w:sz="0" w:space="0" w:color="auto"/>
        <w:bottom w:val="none" w:sz="0" w:space="0" w:color="auto"/>
        <w:right w:val="none" w:sz="0" w:space="0" w:color="auto"/>
      </w:divBdr>
      <w:divsChild>
        <w:div w:id="952247922">
          <w:marLeft w:val="0"/>
          <w:marRight w:val="0"/>
          <w:marTop w:val="0"/>
          <w:marBottom w:val="0"/>
          <w:divBdr>
            <w:top w:val="none" w:sz="0" w:space="0" w:color="auto"/>
            <w:left w:val="none" w:sz="0" w:space="0" w:color="auto"/>
            <w:bottom w:val="none" w:sz="0" w:space="0" w:color="auto"/>
            <w:right w:val="none" w:sz="0" w:space="0" w:color="auto"/>
          </w:divBdr>
        </w:div>
      </w:divsChild>
    </w:div>
    <w:div w:id="952247906">
      <w:marLeft w:val="0"/>
      <w:marRight w:val="0"/>
      <w:marTop w:val="0"/>
      <w:marBottom w:val="0"/>
      <w:divBdr>
        <w:top w:val="none" w:sz="0" w:space="0" w:color="auto"/>
        <w:left w:val="none" w:sz="0" w:space="0" w:color="auto"/>
        <w:bottom w:val="none" w:sz="0" w:space="0" w:color="auto"/>
        <w:right w:val="none" w:sz="0" w:space="0" w:color="auto"/>
      </w:divBdr>
    </w:div>
    <w:div w:id="952247907">
      <w:marLeft w:val="0"/>
      <w:marRight w:val="0"/>
      <w:marTop w:val="0"/>
      <w:marBottom w:val="0"/>
      <w:divBdr>
        <w:top w:val="none" w:sz="0" w:space="0" w:color="auto"/>
        <w:left w:val="none" w:sz="0" w:space="0" w:color="auto"/>
        <w:bottom w:val="none" w:sz="0" w:space="0" w:color="auto"/>
        <w:right w:val="none" w:sz="0" w:space="0" w:color="auto"/>
      </w:divBdr>
    </w:div>
    <w:div w:id="952247908">
      <w:marLeft w:val="0"/>
      <w:marRight w:val="0"/>
      <w:marTop w:val="0"/>
      <w:marBottom w:val="0"/>
      <w:divBdr>
        <w:top w:val="none" w:sz="0" w:space="0" w:color="auto"/>
        <w:left w:val="none" w:sz="0" w:space="0" w:color="auto"/>
        <w:bottom w:val="none" w:sz="0" w:space="0" w:color="auto"/>
        <w:right w:val="none" w:sz="0" w:space="0" w:color="auto"/>
      </w:divBdr>
    </w:div>
    <w:div w:id="952247909">
      <w:marLeft w:val="0"/>
      <w:marRight w:val="0"/>
      <w:marTop w:val="0"/>
      <w:marBottom w:val="0"/>
      <w:divBdr>
        <w:top w:val="none" w:sz="0" w:space="0" w:color="auto"/>
        <w:left w:val="none" w:sz="0" w:space="0" w:color="auto"/>
        <w:bottom w:val="none" w:sz="0" w:space="0" w:color="auto"/>
        <w:right w:val="none" w:sz="0" w:space="0" w:color="auto"/>
      </w:divBdr>
    </w:div>
    <w:div w:id="952247910">
      <w:marLeft w:val="0"/>
      <w:marRight w:val="0"/>
      <w:marTop w:val="0"/>
      <w:marBottom w:val="0"/>
      <w:divBdr>
        <w:top w:val="none" w:sz="0" w:space="0" w:color="auto"/>
        <w:left w:val="none" w:sz="0" w:space="0" w:color="auto"/>
        <w:bottom w:val="none" w:sz="0" w:space="0" w:color="auto"/>
        <w:right w:val="none" w:sz="0" w:space="0" w:color="auto"/>
      </w:divBdr>
    </w:div>
    <w:div w:id="952247911">
      <w:marLeft w:val="0"/>
      <w:marRight w:val="0"/>
      <w:marTop w:val="0"/>
      <w:marBottom w:val="0"/>
      <w:divBdr>
        <w:top w:val="none" w:sz="0" w:space="0" w:color="auto"/>
        <w:left w:val="none" w:sz="0" w:space="0" w:color="auto"/>
        <w:bottom w:val="none" w:sz="0" w:space="0" w:color="auto"/>
        <w:right w:val="none" w:sz="0" w:space="0" w:color="auto"/>
      </w:divBdr>
    </w:div>
    <w:div w:id="952247912">
      <w:marLeft w:val="0"/>
      <w:marRight w:val="0"/>
      <w:marTop w:val="0"/>
      <w:marBottom w:val="0"/>
      <w:divBdr>
        <w:top w:val="none" w:sz="0" w:space="0" w:color="auto"/>
        <w:left w:val="none" w:sz="0" w:space="0" w:color="auto"/>
        <w:bottom w:val="none" w:sz="0" w:space="0" w:color="auto"/>
        <w:right w:val="none" w:sz="0" w:space="0" w:color="auto"/>
      </w:divBdr>
    </w:div>
    <w:div w:id="952247913">
      <w:marLeft w:val="0"/>
      <w:marRight w:val="0"/>
      <w:marTop w:val="0"/>
      <w:marBottom w:val="0"/>
      <w:divBdr>
        <w:top w:val="none" w:sz="0" w:space="0" w:color="auto"/>
        <w:left w:val="none" w:sz="0" w:space="0" w:color="auto"/>
        <w:bottom w:val="none" w:sz="0" w:space="0" w:color="auto"/>
        <w:right w:val="none" w:sz="0" w:space="0" w:color="auto"/>
      </w:divBdr>
    </w:div>
    <w:div w:id="952247914">
      <w:marLeft w:val="0"/>
      <w:marRight w:val="0"/>
      <w:marTop w:val="0"/>
      <w:marBottom w:val="0"/>
      <w:divBdr>
        <w:top w:val="none" w:sz="0" w:space="0" w:color="auto"/>
        <w:left w:val="none" w:sz="0" w:space="0" w:color="auto"/>
        <w:bottom w:val="none" w:sz="0" w:space="0" w:color="auto"/>
        <w:right w:val="none" w:sz="0" w:space="0" w:color="auto"/>
      </w:divBdr>
    </w:div>
    <w:div w:id="952247915">
      <w:marLeft w:val="0"/>
      <w:marRight w:val="0"/>
      <w:marTop w:val="0"/>
      <w:marBottom w:val="0"/>
      <w:divBdr>
        <w:top w:val="none" w:sz="0" w:space="0" w:color="auto"/>
        <w:left w:val="none" w:sz="0" w:space="0" w:color="auto"/>
        <w:bottom w:val="none" w:sz="0" w:space="0" w:color="auto"/>
        <w:right w:val="none" w:sz="0" w:space="0" w:color="auto"/>
      </w:divBdr>
    </w:div>
    <w:div w:id="952247916">
      <w:marLeft w:val="0"/>
      <w:marRight w:val="0"/>
      <w:marTop w:val="0"/>
      <w:marBottom w:val="0"/>
      <w:divBdr>
        <w:top w:val="none" w:sz="0" w:space="0" w:color="auto"/>
        <w:left w:val="none" w:sz="0" w:space="0" w:color="auto"/>
        <w:bottom w:val="none" w:sz="0" w:space="0" w:color="auto"/>
        <w:right w:val="none" w:sz="0" w:space="0" w:color="auto"/>
      </w:divBdr>
    </w:div>
    <w:div w:id="952247917">
      <w:marLeft w:val="0"/>
      <w:marRight w:val="0"/>
      <w:marTop w:val="0"/>
      <w:marBottom w:val="0"/>
      <w:divBdr>
        <w:top w:val="none" w:sz="0" w:space="0" w:color="auto"/>
        <w:left w:val="none" w:sz="0" w:space="0" w:color="auto"/>
        <w:bottom w:val="none" w:sz="0" w:space="0" w:color="auto"/>
        <w:right w:val="none" w:sz="0" w:space="0" w:color="auto"/>
      </w:divBdr>
    </w:div>
    <w:div w:id="952247918">
      <w:marLeft w:val="0"/>
      <w:marRight w:val="0"/>
      <w:marTop w:val="0"/>
      <w:marBottom w:val="0"/>
      <w:divBdr>
        <w:top w:val="none" w:sz="0" w:space="0" w:color="auto"/>
        <w:left w:val="none" w:sz="0" w:space="0" w:color="auto"/>
        <w:bottom w:val="none" w:sz="0" w:space="0" w:color="auto"/>
        <w:right w:val="none" w:sz="0" w:space="0" w:color="auto"/>
      </w:divBdr>
    </w:div>
    <w:div w:id="952247919">
      <w:marLeft w:val="0"/>
      <w:marRight w:val="0"/>
      <w:marTop w:val="0"/>
      <w:marBottom w:val="0"/>
      <w:divBdr>
        <w:top w:val="none" w:sz="0" w:space="0" w:color="auto"/>
        <w:left w:val="none" w:sz="0" w:space="0" w:color="auto"/>
        <w:bottom w:val="none" w:sz="0" w:space="0" w:color="auto"/>
        <w:right w:val="none" w:sz="0" w:space="0" w:color="auto"/>
      </w:divBdr>
    </w:div>
    <w:div w:id="952247920">
      <w:marLeft w:val="0"/>
      <w:marRight w:val="0"/>
      <w:marTop w:val="0"/>
      <w:marBottom w:val="0"/>
      <w:divBdr>
        <w:top w:val="none" w:sz="0" w:space="0" w:color="auto"/>
        <w:left w:val="none" w:sz="0" w:space="0" w:color="auto"/>
        <w:bottom w:val="none" w:sz="0" w:space="0" w:color="auto"/>
        <w:right w:val="none" w:sz="0" w:space="0" w:color="auto"/>
      </w:divBdr>
    </w:div>
    <w:div w:id="952247921">
      <w:marLeft w:val="0"/>
      <w:marRight w:val="0"/>
      <w:marTop w:val="0"/>
      <w:marBottom w:val="0"/>
      <w:divBdr>
        <w:top w:val="none" w:sz="0" w:space="0" w:color="auto"/>
        <w:left w:val="none" w:sz="0" w:space="0" w:color="auto"/>
        <w:bottom w:val="none" w:sz="0" w:space="0" w:color="auto"/>
        <w:right w:val="none" w:sz="0" w:space="0" w:color="auto"/>
      </w:divBdr>
    </w:div>
    <w:div w:id="952247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ymcdn.com/sites/www.iap2.org/%20resource/resmgr/imported/IAP2%20Spectrum_vertic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2163</Words>
  <Characters>12332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IA practice in São Paulo State</dc:title>
  <dc:subject/>
  <cp:keywords/>
  <dc:description/>
  <cp:lastModifiedBy>temp</cp:lastModifiedBy>
  <cp:revision>3</cp:revision>
  <cp:lastPrinted>2015-10-18T17:33:00Z</cp:lastPrinted>
  <dcterms:created xsi:type="dcterms:W3CDTF">2017-02-13T17:53:00Z</dcterms:created>
  <dcterms:modified xsi:type="dcterms:W3CDTF">2017-02-13T17:55:00Z</dcterms:modified>
</cp:coreProperties>
</file>